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D6" w:rsidRPr="00954152" w:rsidRDefault="004E0AD6" w:rsidP="004E0AD6">
      <w:pPr>
        <w:rPr>
          <w:b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4E0AD6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4E0AD6" w:rsidRPr="00954152" w:rsidRDefault="004E0AD6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bookmarkStart w:id="1" w:name="HUnit7"/>
            <w:r w:rsidRPr="00954152">
              <w:rPr>
                <w:rFonts w:ascii="Verdana" w:hAnsi="Verdana"/>
                <w:b/>
                <w:color w:val="FFFFFF" w:themeColor="background1"/>
              </w:rPr>
              <w:t>UNIT 7: Perimeter, area and volume, plane shapes and prisms, circles, cylinders, spheres, cones; Accuracy and bounds</w:t>
            </w:r>
            <w:bookmarkEnd w:id="1"/>
          </w:p>
        </w:tc>
      </w:tr>
    </w:tbl>
    <w:p w:rsidR="004E0AD6" w:rsidRDefault="004E0AD6" w:rsidP="004E0AD6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exactly with 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multiples of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π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estimate answers; check calculations using approximation and estimation, including answers obtained using technology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round numbers and measures to an appropriate degree of accuracy (e.g. to a specified number of decimal places or significant figures);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inequality notation to specify simple error intervals due to truncation or rounding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and interpret limits of accuracy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upper and lower bounds</w:t>
      </w:r>
    </w:p>
    <w:p w:rsidR="004E0AD6" w:rsidRDefault="004E0AD6" w:rsidP="004E0AD6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DC0E37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DC0E37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4E0AD6" w:rsidRDefault="004E0AD6" w:rsidP="004E0AD6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translate simple situations or procedures into algebraic expressions or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formulae; derive an equation (or two simultaneous equations), solve the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0B6C4A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equation(s) and interpret the solution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…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conventional terms and notations: points, lines, vertices, edges, planes, parallel lines, perpendicular lines, right angles, polygons, regular polygons and polygons with reflection and/or rotation symmetries; …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apply circle definitions and properties, including: centre, radius, chord, diameter, circumference,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tangent, arc, sector and segment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construct and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interpret plans and elevations of 3D shapes.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measure and related concepts (length, area, volume/capacity, mass, time, money, etc)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and apply formulae to calculate: area of triangles, parallelograms, trapezia; volume of cuboids and other right prisms (including cylinders)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the formulae: circumference of a circle = 2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= </w:t>
      </w:r>
      <w:proofErr w:type="gram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πd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area of a circle =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calculate: perimeters of 2D shapes, including circles; areas of circles and composite shapes;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surface area and volume of spheres, pyramids, cones and composite solids</w:t>
      </w:r>
    </w:p>
    <w:p w:rsidR="004E0AD6" w:rsidRPr="00954152" w:rsidRDefault="004E0AD6" w:rsidP="004E0AD6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arc lengths, angles and areas of sectors of circles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names and properties of 3D forms.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The concept of perimeter and area by measuring lengths of sides will be familiar to students. 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substitute numbers into an equation and give answers to an appropriate degree of accuracy.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know the various metric units. 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Triangle, rectangle, parallelogram, trapezium, area, perimeter, formula, length, width, prism, compound, measurement, polygon, cuboid, volume, nets, isometric, symmetry, vertices, edge, face, circle, segment, arc, sector, cylinder, circumference, radius, diameter, pi, composite, sphere, cone, capacity, hemisphere, segment, frustum, bounds, accuracy, surface area</w:t>
      </w:r>
    </w:p>
    <w:p w:rsidR="004E0AD6" w:rsidRPr="00954152" w:rsidRDefault="004E0AD6" w:rsidP="004E0AD6">
      <w:pPr>
        <w:rPr>
          <w:b/>
          <w:color w:val="0F243E" w:themeColor="text2" w:themeShade="80"/>
        </w:rPr>
      </w:pPr>
      <w:r w:rsidRPr="00954152">
        <w:rPr>
          <w:b/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4E0AD6" w:rsidRPr="00954152" w:rsidTr="005765EB">
        <w:tc>
          <w:tcPr>
            <w:tcW w:w="3939" w:type="pct"/>
            <w:shd w:val="clear" w:color="auto" w:fill="8DB3E2" w:themeFill="text2" w:themeFillTint="66"/>
            <w:vAlign w:val="center"/>
          </w:tcPr>
          <w:p w:rsidR="004E0AD6" w:rsidRPr="00954152" w:rsidRDefault="004E0AD6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2" w:name="HUnit7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7a. Perimeter, area and circles</w:t>
            </w:r>
          </w:p>
          <w:p w:rsidR="004E0AD6" w:rsidRPr="00954152" w:rsidRDefault="004E0AD6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 xml:space="preserve">(N8, N14, N15, </w:t>
            </w:r>
            <w:r>
              <w:rPr>
                <w:rFonts w:ascii="Verdana" w:hAnsi="Verdana"/>
                <w:color w:val="0F243E" w:themeColor="text2" w:themeShade="80"/>
              </w:rPr>
              <w:t xml:space="preserve">A5, </w:t>
            </w:r>
            <w:r w:rsidRPr="00954152">
              <w:rPr>
                <w:rFonts w:ascii="Verdana" w:hAnsi="Verdana"/>
                <w:color w:val="0F243E" w:themeColor="text2" w:themeShade="80"/>
              </w:rPr>
              <w:t>R1, G1, G9, G14, G16, G17, G18)</w:t>
            </w:r>
            <w:bookmarkEnd w:id="2"/>
          </w:p>
        </w:tc>
        <w:tc>
          <w:tcPr>
            <w:tcW w:w="1061" w:type="pct"/>
            <w:shd w:val="clear" w:color="auto" w:fill="8DB3E2" w:themeFill="text2" w:themeFillTint="66"/>
          </w:tcPr>
          <w:p w:rsidR="004E0AD6" w:rsidRPr="00954152" w:rsidRDefault="004E0AD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4E0AD6" w:rsidRPr="00954152" w:rsidRDefault="004E0AD6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>
              <w:rPr>
                <w:rFonts w:ascii="Verdana" w:hAnsi="Verdana"/>
                <w:color w:val="0F243E" w:themeColor="text2" w:themeShade="80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</w:rPr>
              <w:t xml:space="preserve"> hours</w:t>
            </w:r>
          </w:p>
        </w:tc>
      </w:tr>
    </w:tbl>
    <w:p w:rsidR="004E0AD6" w:rsidRPr="00954152" w:rsidRDefault="004E0AD6" w:rsidP="004E0AD6">
      <w:pPr>
        <w:spacing w:before="240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By the end of the unit, students should be able to: </w:t>
      </w:r>
    </w:p>
    <w:p w:rsidR="004E0AD6" w:rsidRPr="00954152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Recall and use the formulae for the area of a triangle, rectangle, trapezium and parallelogram using a variety of metric measures;</w:t>
      </w:r>
    </w:p>
    <w:p w:rsidR="004E0AD6" w:rsidRPr="00954152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Calculate the area of compound shapes made from triangles, rectangles, trapezia and parallelograms using a variety of metric measures;</w:t>
      </w:r>
    </w:p>
    <w:p w:rsidR="004E0AD6" w:rsidRPr="00954152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Find the perimeter of a rectangle, trapezium and parallelogram using a variety of metric measures; </w:t>
      </w:r>
    </w:p>
    <w:p w:rsidR="004E0AD6" w:rsidRPr="00954152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Calculate the perimeter of compound shapes made from triangles and rectangles; </w:t>
      </w:r>
    </w:p>
    <w:p w:rsidR="004E0AD6" w:rsidRPr="00954152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Estimate area and perimeter by rounding measurements to 1 significant figure to check reasonableness of answers</w:t>
      </w:r>
      <w:r>
        <w:rPr>
          <w:rFonts w:ascii="Verdana" w:hAnsi="Verdana"/>
          <w:color w:val="0F243E"/>
          <w:sz w:val="20"/>
          <w:szCs w:val="20"/>
        </w:rPr>
        <w:t>;</w:t>
      </w:r>
      <w:r w:rsidRPr="00954152">
        <w:rPr>
          <w:rFonts w:ascii="Verdana" w:hAnsi="Verdana"/>
          <w:color w:val="0F243E"/>
          <w:sz w:val="20"/>
          <w:szCs w:val="20"/>
        </w:rPr>
        <w:t xml:space="preserve">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Recall the definition of a circle and name and draw parts of a circle;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pacing w:val="-6"/>
          <w:sz w:val="20"/>
          <w:szCs w:val="20"/>
        </w:rPr>
      </w:pPr>
      <w:r w:rsidRPr="00954152">
        <w:rPr>
          <w:rFonts w:ascii="Verdana" w:hAnsi="Verdana"/>
          <w:color w:val="0F243E"/>
          <w:spacing w:val="-6"/>
          <w:sz w:val="20"/>
          <w:szCs w:val="20"/>
        </w:rPr>
        <w:t>Recall and use formulae for the circumference of a circle and the area enclosed by a circle (using circumference = 2</w:t>
      </w:r>
      <w:r w:rsidRPr="00954152">
        <w:rPr>
          <w:rFonts w:ascii="Times New Roman" w:hAnsi="Times New Roman" w:cs="Times New Roman"/>
          <w:i/>
          <w:color w:val="0F243E"/>
          <w:spacing w:val="-6"/>
          <w:sz w:val="24"/>
          <w:szCs w:val="24"/>
        </w:rPr>
        <w:t>πr</w:t>
      </w:r>
      <w:r w:rsidRPr="00954152">
        <w:rPr>
          <w:rFonts w:ascii="Verdana" w:hAnsi="Verdana"/>
          <w:color w:val="0F243E"/>
          <w:spacing w:val="-6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/>
          <w:spacing w:val="-6"/>
          <w:sz w:val="24"/>
          <w:szCs w:val="24"/>
        </w:rPr>
        <w:t>πd</w:t>
      </w:r>
      <w:r w:rsidRPr="00954152">
        <w:rPr>
          <w:rFonts w:ascii="Verdana" w:hAnsi="Verdana"/>
          <w:color w:val="0F243E"/>
          <w:spacing w:val="-6"/>
          <w:sz w:val="20"/>
          <w:szCs w:val="20"/>
        </w:rPr>
        <w:t xml:space="preserve"> and area of a circle = </w:t>
      </w:r>
      <w:r w:rsidRPr="00954152">
        <w:rPr>
          <w:rFonts w:ascii="Times New Roman" w:hAnsi="Times New Roman" w:cs="Times New Roman"/>
          <w:i/>
          <w:color w:val="0F243E"/>
          <w:spacing w:val="-6"/>
          <w:sz w:val="24"/>
          <w:szCs w:val="24"/>
        </w:rPr>
        <w:t>πr</w:t>
      </w:r>
      <w:r w:rsidRPr="00954152">
        <w:rPr>
          <w:rFonts w:ascii="Verdana" w:hAnsi="Verdana"/>
          <w:color w:val="0F243E"/>
          <w:spacing w:val="-6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/>
          <w:spacing w:val="-6"/>
          <w:sz w:val="20"/>
          <w:szCs w:val="20"/>
        </w:rPr>
        <w:t>) using a variety of metric measures;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Use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π</w:t>
      </w:r>
      <w:r w:rsidRPr="00954152">
        <w:rPr>
          <w:rFonts w:ascii="Verdana" w:hAnsi="Verdana"/>
          <w:color w:val="0F243E"/>
          <w:sz w:val="20"/>
          <w:szCs w:val="20"/>
        </w:rPr>
        <w:t xml:space="preserve"> ≈ 3.142 or use the </w:t>
      </w:r>
      <w:r w:rsidRPr="00954152">
        <w:rPr>
          <w:rFonts w:ascii="Times New Roman" w:hAnsi="Times New Roman" w:cs="Times New Roman"/>
          <w:i/>
          <w:color w:val="0F243E"/>
          <w:spacing w:val="-6"/>
          <w:sz w:val="24"/>
          <w:szCs w:val="24"/>
        </w:rPr>
        <w:t>π</w:t>
      </w:r>
      <w:r w:rsidRPr="00954152">
        <w:rPr>
          <w:rFonts w:ascii="Verdana" w:hAnsi="Verdana"/>
          <w:color w:val="0F243E"/>
          <w:sz w:val="20"/>
          <w:szCs w:val="20"/>
        </w:rPr>
        <w:t xml:space="preserve"> button on a calculator;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Calculate perimeters and areas of composite shapes made from circles and parts of circles (including semicircles, quarter-circles, combinations of these and also incorporating other polygons);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Calculate arc lengths, angles and areas of sectors of circles;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Find radius or diameter, given area or circumference of circles in a variety of metric measures;</w:t>
      </w:r>
    </w:p>
    <w:p w:rsidR="004E0AD6" w:rsidRPr="001446EF" w:rsidRDefault="004E0AD6" w:rsidP="004E0AD6">
      <w:pPr>
        <w:pStyle w:val="ListParagraph"/>
        <w:numPr>
          <w:ilvl w:val="0"/>
          <w:numId w:val="13"/>
        </w:numPr>
        <w:pBdr>
          <w:left w:val="single" w:sz="4" w:space="10" w:color="auto"/>
          <w:right w:val="single" w:sz="4" w:space="10" w:color="auto"/>
        </w:pBd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1446EF">
        <w:rPr>
          <w:rFonts w:ascii="Verdana" w:hAnsi="Verdana"/>
          <w:color w:val="0F243E"/>
          <w:sz w:val="20"/>
          <w:szCs w:val="20"/>
        </w:rPr>
        <w:t xml:space="preserve">Give answers to an appropriate degree of accuracy or in terms of </w:t>
      </w:r>
      <w:r w:rsidRPr="001446EF">
        <w:rPr>
          <w:rFonts w:ascii="Times New Roman" w:hAnsi="Times New Roman" w:cs="Times New Roman"/>
          <w:i/>
          <w:color w:val="0F243E"/>
          <w:sz w:val="24"/>
          <w:szCs w:val="24"/>
        </w:rPr>
        <w:t>π</w:t>
      </w:r>
      <w:r w:rsidRPr="001446EF">
        <w:rPr>
          <w:rFonts w:ascii="Verdana" w:hAnsi="Verdana"/>
          <w:color w:val="0F243E"/>
          <w:sz w:val="20"/>
          <w:szCs w:val="20"/>
        </w:rPr>
        <w:t xml:space="preserve">; </w:t>
      </w:r>
    </w:p>
    <w:p w:rsidR="004E0AD6" w:rsidRDefault="004E0AD6" w:rsidP="004E0AD6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Form equations involving more complex shapes and solve these equations.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Calculate the area and/or perimeter of shapes with different units of measurement. 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Understand that answers in terms of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π</w:t>
      </w:r>
      <w:r w:rsidRPr="00954152">
        <w:rPr>
          <w:rFonts w:ascii="Verdana" w:hAnsi="Verdana"/>
          <w:color w:val="0F243E"/>
          <w:sz w:val="20"/>
          <w:szCs w:val="20"/>
        </w:rPr>
        <w:t xml:space="preserve"> are more accurate. 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Calculate the perimeters and/or areas of circles, semicircles and quarter-circles given the radius or diameter and vice versa.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E0AD6" w:rsidRDefault="004E0AD6" w:rsidP="004E0AD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>
        <w:rPr>
          <w:rFonts w:ascii="Verdana" w:hAnsi="Verdana"/>
          <w:color w:val="0F243E" w:themeColor="text2" w:themeShade="80"/>
          <w:sz w:val="20"/>
          <w:szCs w:val="20"/>
        </w:rPr>
        <w:t>Using compound shapes or combinations of polygons that require students to subsequently interpret their result in a real-life context.</w:t>
      </w:r>
      <w:proofErr w:type="gramEnd"/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Know the impact of estimating their answers and whether it is an overestimate or underestimate in relation to a given context.</w:t>
      </w:r>
    </w:p>
    <w:p w:rsidR="004E0AD6" w:rsidRPr="005E3C5E" w:rsidRDefault="004E0AD6" w:rsidP="004E0AD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Multi-step problems, including the requirement to form and solve equations, provide links with other areas of mathematics. 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Students often get the concepts of area and perimeter confused.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Shapes involving missing lengths of sides often result in incorrect answers. </w:t>
      </w:r>
    </w:p>
    <w:p w:rsidR="004E0AD6" w:rsidRDefault="004E0AD6" w:rsidP="004E0AD6">
      <w:pPr>
        <w:spacing w:after="0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Diameter and radius are often confused, and recollection of area and circumference of circles involves incorrect radius or diameter. </w:t>
      </w:r>
    </w:p>
    <w:p w:rsidR="004E0AD6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E0AD6" w:rsidRPr="00954152" w:rsidRDefault="004E0AD6" w:rsidP="004E0AD6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Encourage students to draw a sketch where one isn’t provided.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Emphasise the functional elements with carpets, tiles for walls, boxes in a larger box, etc. Best value and minimum cost can be incorporated too.</w:t>
      </w:r>
    </w:p>
    <w:p w:rsidR="004E0AD6" w:rsidRPr="00954152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lastRenderedPageBreak/>
        <w:t xml:space="preserve">Ensure that examples use different metric units of length, including decimals. </w:t>
      </w:r>
    </w:p>
    <w:p w:rsidR="004E0AD6" w:rsidRDefault="004E0AD6" w:rsidP="004E0AD6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Emphasise the need to learn the circle formulae; “Cherry Pie’s Delicious” and “Apple Pies are too” are good ways to remember them. </w:t>
      </w:r>
    </w:p>
    <w:p w:rsidR="004E0AD6" w:rsidRDefault="004E0AD6" w:rsidP="004E0AD6">
      <w:pPr>
        <w:spacing w:after="0"/>
        <w:jc w:val="both"/>
        <w:rPr>
          <w:color w:val="0F243E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Ensure that students know it is more accurate to leave answers in terms of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π</w:t>
      </w:r>
      <w:r w:rsidRPr="00954152">
        <w:rPr>
          <w:rFonts w:ascii="Verdana" w:hAnsi="Verdana"/>
          <w:color w:val="0F243E"/>
          <w:sz w:val="20"/>
          <w:szCs w:val="20"/>
        </w:rPr>
        <w:t>, but only when asked to do so.</w:t>
      </w:r>
    </w:p>
    <w:p w:rsidR="00F65713" w:rsidRPr="004E0AD6" w:rsidRDefault="00F65713" w:rsidP="004E0AD6"/>
    <w:sectPr w:rsidR="00F65713" w:rsidRPr="004E0AD6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427BC5"/>
    <w:rsid w:val="004E0AD6"/>
    <w:rsid w:val="005F7E54"/>
    <w:rsid w:val="00606A67"/>
    <w:rsid w:val="006C2B02"/>
    <w:rsid w:val="006C6AFE"/>
    <w:rsid w:val="00774718"/>
    <w:rsid w:val="00816816"/>
    <w:rsid w:val="008307AE"/>
    <w:rsid w:val="00971159"/>
    <w:rsid w:val="00AE72EF"/>
    <w:rsid w:val="00B922CD"/>
    <w:rsid w:val="00BE0650"/>
    <w:rsid w:val="00BE6E24"/>
    <w:rsid w:val="00C25DDA"/>
    <w:rsid w:val="00D64985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2016-07-08T09:32:00Z</dcterms:created>
  <dcterms:modified xsi:type="dcterms:W3CDTF">2016-07-08T09:32:00Z</dcterms:modified>
</cp:coreProperties>
</file>