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F" w:rsidRPr="00954152" w:rsidRDefault="00F6174F" w:rsidP="00F6174F">
      <w:pPr>
        <w:rPr>
          <w:color w:val="0F243E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F6174F" w:rsidRPr="00954152" w:rsidTr="00CA1D2C">
        <w:trPr>
          <w:trHeight w:val="87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F6174F" w:rsidRPr="00954152" w:rsidRDefault="00F6174F" w:rsidP="00CA1D2C">
            <w:pPr>
              <w:spacing w:line="276" w:lineRule="auto"/>
              <w:rPr>
                <w:rFonts w:ascii="Verdana" w:hAnsi="Verdana"/>
                <w:b/>
                <w:color w:val="FFFFFF" w:themeColor="background1"/>
              </w:rPr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>U</w:t>
            </w:r>
            <w:bookmarkStart w:id="0" w:name="Unit18"/>
            <w:bookmarkEnd w:id="0"/>
            <w:r w:rsidRPr="00954152">
              <w:rPr>
                <w:rFonts w:ascii="Verdana" w:hAnsi="Verdana"/>
                <w:b/>
                <w:color w:val="FFFFFF" w:themeColor="background1"/>
              </w:rPr>
              <w:t>NIT 18: More fractions, reciprocals, standard form, zero and negative indices</w:t>
            </w:r>
          </w:p>
        </w:tc>
      </w:tr>
    </w:tbl>
    <w:p w:rsidR="00F6174F" w:rsidRPr="00954152" w:rsidRDefault="00F6174F" w:rsidP="00F6174F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F6174F" w:rsidRPr="00954152" w:rsidRDefault="00F6174F" w:rsidP="00F6174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F6174F" w:rsidRPr="00954152" w:rsidRDefault="00F6174F" w:rsidP="00F6174F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the four operations, including formal written methods, to integers, decimals and simple fractions (proper and improper), and mixed numbers – all both positive and negative; understand and use place value (e.g. when working with very large or very small numbers, and when calculating with decimals)</w:t>
      </w:r>
    </w:p>
    <w:p w:rsidR="00F6174F" w:rsidRPr="00954152" w:rsidRDefault="00F6174F" w:rsidP="00F6174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F6174F" w:rsidRPr="00954152" w:rsidRDefault="00F6174F" w:rsidP="00F6174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N7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calculate with roots, and with integer indices</w:t>
      </w:r>
    </w:p>
    <w:p w:rsidR="00F6174F" w:rsidRPr="00954152" w:rsidRDefault="00F6174F" w:rsidP="00F6174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C952F3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calculate exactly with fractions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F6174F" w:rsidRPr="00954152" w:rsidRDefault="00F6174F" w:rsidP="00F6174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with and interpret standard form </w:t>
      </w:r>
      <w:proofErr w:type="gramStart"/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A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x 10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vertAlign w:val="superscript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where 1 ≤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A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&lt; 10 and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is an integer.</w:t>
      </w:r>
    </w:p>
    <w:p w:rsidR="00F6174F" w:rsidRPr="00954152" w:rsidRDefault="00F6174F" w:rsidP="00F6174F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F6174F" w:rsidRPr="00954152" w:rsidRDefault="00F6174F" w:rsidP="00F6174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F6174F" w:rsidRPr="00954152" w:rsidRDefault="00F6174F" w:rsidP="00F6174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how to do the four operations with fractions.</w:t>
      </w:r>
    </w:p>
    <w:p w:rsidR="00F6174F" w:rsidRPr="00954152" w:rsidRDefault="00F6174F" w:rsidP="00F6174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write powers of 10 in index form and recognise and recall powers of 10, i.e. 10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100.</w:t>
      </w:r>
    </w:p>
    <w:p w:rsidR="00F6174F" w:rsidRPr="00954152" w:rsidRDefault="00F6174F" w:rsidP="00F6174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recall the index laws.</w:t>
      </w:r>
    </w:p>
    <w:p w:rsidR="00F6174F" w:rsidRPr="00954152" w:rsidRDefault="00F6174F" w:rsidP="00F6174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F6174F" w:rsidRPr="00954152" w:rsidRDefault="00F6174F" w:rsidP="00F6174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F6174F" w:rsidRPr="00954152" w:rsidRDefault="00F6174F" w:rsidP="00F6174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Add, subtract, multiply, divide, mixed, improper, fraction, decimal, indices, standard form, power, reciprocal, index</w:t>
      </w:r>
    </w:p>
    <w:p w:rsidR="00FF5E3B" w:rsidRPr="00FF5E3B" w:rsidRDefault="00FF5E3B" w:rsidP="00FF5E3B">
      <w:pPr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br w:type="page"/>
      </w:r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FF5E3B" w:rsidRPr="00954152" w:rsidTr="00CA1D2C">
        <w:tc>
          <w:tcPr>
            <w:tcW w:w="3867" w:type="pct"/>
            <w:shd w:val="clear" w:color="auto" w:fill="8DB3E2" w:themeFill="text2" w:themeFillTint="66"/>
            <w:vAlign w:val="center"/>
          </w:tcPr>
          <w:p w:rsidR="00FF5E3B" w:rsidRPr="00954152" w:rsidRDefault="00FF5E3B" w:rsidP="00CA1D2C">
            <w:pPr>
              <w:spacing w:line="276" w:lineRule="auto"/>
              <w:jc w:val="both"/>
              <w:rPr>
                <w:rFonts w:ascii="Verdana" w:hAnsi="Verdana"/>
                <w:b/>
                <w:color w:val="0F243E" w:themeColor="text2" w:themeShade="80"/>
              </w:rPr>
            </w:pPr>
            <w:bookmarkStart w:id="2" w:name="Unit18b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18b. Indices and standard form</w:t>
            </w:r>
          </w:p>
          <w:bookmarkEnd w:id="2"/>
          <w:p w:rsidR="00FF5E3B" w:rsidRPr="00954152" w:rsidRDefault="00FF5E3B" w:rsidP="00CA1D2C">
            <w:pPr>
              <w:spacing w:line="276" w:lineRule="auto"/>
              <w:jc w:val="both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(N7, N9)</w:t>
            </w:r>
          </w:p>
        </w:tc>
        <w:tc>
          <w:tcPr>
            <w:tcW w:w="1133" w:type="pct"/>
            <w:shd w:val="clear" w:color="auto" w:fill="8DB3E2" w:themeFill="text2" w:themeFillTint="66"/>
          </w:tcPr>
          <w:p w:rsidR="00FF5E3B" w:rsidRPr="00954152" w:rsidRDefault="00FF5E3B" w:rsidP="00CA1D2C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FF5E3B" w:rsidRPr="00954152" w:rsidRDefault="00FF5E3B" w:rsidP="00CA1D2C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4-6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FF5E3B" w:rsidRPr="00954152" w:rsidRDefault="00FF5E3B" w:rsidP="00FF5E3B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FF5E3B" w:rsidRPr="00954152" w:rsidRDefault="00FF5E3B" w:rsidP="00FF5E3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index laws to simplify and calculate the value of numerical expressions involving multiplication and division of integer powers, fractions and powers of a power;</w:t>
      </w:r>
    </w:p>
    <w:p w:rsidR="00FF5E3B" w:rsidRDefault="00FF5E3B" w:rsidP="00FF5E3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numbers raised to the power zero, including the zero power of 10; </w:t>
      </w:r>
    </w:p>
    <w:p w:rsidR="00FF5E3B" w:rsidRPr="00954152" w:rsidRDefault="00FF5E3B" w:rsidP="00FF5E3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>Convert large and small numbers into standard form and vice versa;</w:t>
      </w:r>
    </w:p>
    <w:p w:rsidR="00FF5E3B" w:rsidRPr="00954152" w:rsidRDefault="00FF5E3B" w:rsidP="00FF5E3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>Add</w:t>
      </w:r>
      <w:r>
        <w:rPr>
          <w:rFonts w:ascii="Verdana" w:hAnsi="Verdana"/>
          <w:color w:val="0F243E" w:themeColor="text2" w:themeShade="80"/>
          <w:sz w:val="20"/>
        </w:rPr>
        <w:t>,</w:t>
      </w:r>
      <w:r w:rsidRPr="00954152">
        <w:rPr>
          <w:rFonts w:ascii="Verdana" w:hAnsi="Verdana"/>
          <w:color w:val="0F243E" w:themeColor="text2" w:themeShade="80"/>
          <w:sz w:val="20"/>
        </w:rPr>
        <w:t xml:space="preserve"> subtract</w:t>
      </w:r>
      <w:r>
        <w:rPr>
          <w:rFonts w:ascii="Verdana" w:hAnsi="Verdana"/>
          <w:color w:val="0F243E" w:themeColor="text2" w:themeShade="80"/>
          <w:sz w:val="20"/>
        </w:rPr>
        <w:t xml:space="preserve">, multiply and divide </w:t>
      </w:r>
      <w:r w:rsidRPr="00954152">
        <w:rPr>
          <w:rFonts w:ascii="Verdana" w:hAnsi="Verdana"/>
          <w:color w:val="0F243E" w:themeColor="text2" w:themeShade="80"/>
          <w:sz w:val="20"/>
        </w:rPr>
        <w:t>numbers in standard form;</w:t>
      </w:r>
    </w:p>
    <w:p w:rsidR="00FF5E3B" w:rsidRPr="00954152" w:rsidRDefault="00FF5E3B" w:rsidP="00FF5E3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>Interpret a calculator display using standard form and know how to enter numbers in standard form.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FF5E3B" w:rsidRPr="00954152" w:rsidRDefault="00FF5E3B" w:rsidP="00FF5E3B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>Write 51 080 in standard form.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>Write 3.74 × 10</w:t>
      </w:r>
      <w:r w:rsidRPr="00954152">
        <w:rPr>
          <w:rFonts w:ascii="Verdana" w:hAnsi="Verdana"/>
          <w:color w:val="0F243E" w:themeColor="text2" w:themeShade="80"/>
          <w:sz w:val="20"/>
          <w:vertAlign w:val="superscript"/>
        </w:rPr>
        <w:t>–6</w:t>
      </w:r>
      <w:r w:rsidRPr="00954152">
        <w:rPr>
          <w:rFonts w:ascii="Verdana" w:hAnsi="Verdana"/>
          <w:color w:val="0F243E" w:themeColor="text2" w:themeShade="80"/>
          <w:sz w:val="20"/>
        </w:rPr>
        <w:t xml:space="preserve"> as an ordinary number.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What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is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9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0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?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FF5E3B" w:rsidRPr="00265DDA" w:rsidRDefault="00FF5E3B" w:rsidP="00FF5E3B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265DDA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FF5E3B" w:rsidRPr="00265DDA" w:rsidRDefault="00FF5E3B" w:rsidP="00FF5E3B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proofErr w:type="gramStart"/>
      <w:r w:rsidRPr="00265DDA">
        <w:rPr>
          <w:rFonts w:ascii="Verdana" w:hAnsi="Verdana"/>
          <w:color w:val="0F243E"/>
          <w:sz w:val="20"/>
          <w:szCs w:val="20"/>
        </w:rPr>
        <w:t xml:space="preserve">Link with other areas of </w:t>
      </w:r>
      <w:r>
        <w:rPr>
          <w:rFonts w:ascii="Verdana" w:hAnsi="Verdana"/>
          <w:color w:val="0F243E"/>
          <w:sz w:val="20"/>
          <w:szCs w:val="20"/>
        </w:rPr>
        <w:t>m</w:t>
      </w:r>
      <w:r w:rsidRPr="00265DDA">
        <w:rPr>
          <w:rFonts w:ascii="Verdana" w:hAnsi="Verdana"/>
          <w:color w:val="0F243E"/>
          <w:sz w:val="20"/>
          <w:szCs w:val="20"/>
        </w:rPr>
        <w:t>athematics, such as compound measures, by using speed of light in standard form.</w:t>
      </w:r>
      <w:proofErr w:type="gramEnd"/>
    </w:p>
    <w:p w:rsidR="00FF5E3B" w:rsidRPr="00265DDA" w:rsidRDefault="00FF5E3B" w:rsidP="00FF5E3B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FF5E3B" w:rsidRPr="00954152" w:rsidRDefault="00FF5E3B" w:rsidP="00FF5E3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FF5E3B" w:rsidRPr="00954152" w:rsidRDefault="00FF5E3B" w:rsidP="00FF5E3B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Some students may think that any number multiplied by a power of ten qualifies as a number written in standard form.</w:t>
      </w:r>
    </w:p>
    <w:p w:rsidR="00FF5E3B" w:rsidRPr="00954152" w:rsidRDefault="00FF5E3B" w:rsidP="00FF5E3B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When rounding to significant figures some students may think, for example, that 6729 rounded to one significant figure is 7.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FF5E3B" w:rsidRPr="00954152" w:rsidRDefault="00FF5E3B" w:rsidP="00FF5E3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Negative fractional indices are not included at Foundation tier, but you may wish to extend the work to include these.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 xml:space="preserve">Standard form is used in science and there are lots of cross curricular opportunities. 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</w:rPr>
      </w:pPr>
      <w:r w:rsidRPr="00954152">
        <w:rPr>
          <w:rFonts w:ascii="Verdana" w:hAnsi="Verdana"/>
          <w:color w:val="0F243E" w:themeColor="text2" w:themeShade="80"/>
          <w:sz w:val="20"/>
        </w:rPr>
        <w:t>Students need to be provided with plenty of practice in using standard form with calculators.</w:t>
      </w:r>
    </w:p>
    <w:p w:rsidR="00FF5E3B" w:rsidRPr="00954152" w:rsidRDefault="00FF5E3B" w:rsidP="00FF5E3B">
      <w:pPr>
        <w:spacing w:after="0"/>
        <w:jc w:val="both"/>
        <w:rPr>
          <w:rFonts w:ascii="Verdana" w:hAnsi="Verdana"/>
          <w:color w:val="0F243E" w:themeColor="text2" w:themeShade="80"/>
          <w:sz w:val="20"/>
        </w:rPr>
      </w:pPr>
    </w:p>
    <w:p w:rsidR="00FF5E3B" w:rsidRPr="00954152" w:rsidRDefault="00FF5E3B" w:rsidP="00FF5E3B">
      <w:r w:rsidRPr="00954152">
        <w:br w:type="page"/>
      </w:r>
    </w:p>
    <w:p w:rsidR="00F6174F" w:rsidRPr="00954152" w:rsidRDefault="00F6174F" w:rsidP="00F6174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sectPr w:rsidR="00F6174F" w:rsidRPr="00954152" w:rsidSect="007E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6547AEE"/>
    <w:multiLevelType w:val="hybridMultilevel"/>
    <w:tmpl w:val="7F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78665AF"/>
    <w:multiLevelType w:val="hybridMultilevel"/>
    <w:tmpl w:val="6C6C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512A59"/>
    <w:rsid w:val="005D7F74"/>
    <w:rsid w:val="007863CB"/>
    <w:rsid w:val="007E4A75"/>
    <w:rsid w:val="0094710F"/>
    <w:rsid w:val="00AA7A9F"/>
    <w:rsid w:val="00B147AF"/>
    <w:rsid w:val="00B44B99"/>
    <w:rsid w:val="00B84C9F"/>
    <w:rsid w:val="00BC63EA"/>
    <w:rsid w:val="00E5333D"/>
    <w:rsid w:val="00F6174F"/>
    <w:rsid w:val="00FF265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2016-07-08T08:38:00Z</dcterms:created>
  <dcterms:modified xsi:type="dcterms:W3CDTF">2016-07-08T08:38:00Z</dcterms:modified>
</cp:coreProperties>
</file>