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0" w:rsidRPr="00954152" w:rsidRDefault="00D90180" w:rsidP="00D90180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D90180" w:rsidRPr="00954152" w:rsidTr="007D2A12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D90180" w:rsidRPr="00954152" w:rsidRDefault="00D90180" w:rsidP="007D2A12">
            <w:pPr>
              <w:spacing w:line="276" w:lineRule="auto"/>
            </w:pPr>
            <w:bookmarkStart w:id="0" w:name="Unit4"/>
            <w:r w:rsidRPr="00954152">
              <w:rPr>
                <w:rFonts w:ascii="Verdana" w:hAnsi="Verdana"/>
                <w:b/>
              </w:rPr>
              <w:t>UNIT 4: Fractions and percentages</w:t>
            </w:r>
            <w:r w:rsidRPr="00954152">
              <w:t xml:space="preserve"> </w:t>
            </w:r>
            <w:bookmarkEnd w:id="0"/>
          </w:p>
        </w:tc>
      </w:tr>
    </w:tbl>
    <w:p w:rsidR="00D90180" w:rsidRPr="00954152" w:rsidRDefault="00D90180" w:rsidP="00D90180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D90180" w:rsidRPr="00954152" w:rsidRDefault="00D90180" w:rsidP="00D90180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order positive and negative integers, decimals and fractions; use the symbols =, ≠, &lt;, &gt;, ≤, ≥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the four operations, including formal written methods, to integers, decimals and simple fractions (proper and improper), and mixed numbers – all both positive and negative; understand and use place value (e.g. when working with very large or very small numbers, and when calculating with decimals)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recognise and use relationships between operations, including inverse operations (e.g. cancellation to simplify calculations and expressions); use conventional notation for priority of operations, including brackets, powers, roots and reciprocals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N8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calculate exactly with fractions …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N10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work interchangeably with terminating decimals and their corresponding fractions (such as 3.5 and </w:t>
      </w:r>
      <w:r w:rsidRPr="00954152">
        <w:rPr>
          <w:rFonts w:ascii="Verdana" w:hAnsi="Verdana"/>
          <w:color w:val="0F243E" w:themeColor="text2" w:themeShade="80"/>
          <w:position w:val="-20"/>
          <w:sz w:val="20"/>
          <w:szCs w:val="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9.65pt;height:26.85pt" o:ole="">
            <v:imagedata r:id="rId6" o:title=""/>
          </v:shape>
          <o:OLEObject Type="Embed" ProgID="Equation.DSMT4" ShapeID="_x0000_i1052" DrawAspect="Content" ObjectID="_1529471461" r:id="rId7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or 0.375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and </w:t>
      </w:r>
      <w:proofErr w:type="gramEnd"/>
      <w:r w:rsidRPr="00954152">
        <w:rPr>
          <w:rFonts w:ascii="Verdana" w:hAnsi="Verdana"/>
          <w:color w:val="0F243E" w:themeColor="text2" w:themeShade="80"/>
          <w:position w:val="-22"/>
          <w:sz w:val="20"/>
          <w:szCs w:val="20"/>
        </w:rPr>
        <w:object w:dxaOrig="220" w:dyaOrig="560">
          <v:shape id="_x0000_i1053" type="#_x0000_t75" style="width:9.65pt;height:29pt" o:ole="">
            <v:imagedata r:id="rId8" o:title=""/>
          </v:shape>
          <o:OLEObject Type="Embed" ProgID="Equation.DSMT4" ShapeID="_x0000_i1053" DrawAspect="Content" ObjectID="_1529471462" r:id="rId9"/>
        </w:objec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) 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N12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 fractions and percentages as operators</w:t>
      </w:r>
    </w:p>
    <w:p w:rsidR="00D90180" w:rsidRPr="00954152" w:rsidRDefault="00D90180" w:rsidP="00D90180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N13</w:t>
      </w:r>
      <w:r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use standard units of mass, length, time, money and other measures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(including standard compound measures) using decimal quantities where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4019B4">
        <w:rPr>
          <w:rFonts w:ascii="Verdana" w:hAnsi="Verdana"/>
          <w:color w:val="0F243E" w:themeColor="text2" w:themeShade="80"/>
          <w:sz w:val="20"/>
          <w:szCs w:val="20"/>
        </w:rPr>
        <w:t>appropriate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express one quantity as a fraction of another, where the fraction is less than 1 or greater than 1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R9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define percentage as ‘number of parts per hundred’; interpret percentages and percentage changes as a fraction or a decimal, and interpret these multiplicatively; express one quantity as a percentage of another; compare two quantities using percentages; work with percentages greater than 100%; solve problems involving percentage change, including percentage increase/decrease, and original value problems and simple interest including in financial mathematics</w:t>
      </w:r>
    </w:p>
    <w:p w:rsidR="00D90180" w:rsidRPr="00954152" w:rsidRDefault="00D90180" w:rsidP="00D90180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interpret and construct tables, charts and diagrams, including frequency tables, bar charts, pie charts and pictograms for categorical data, vertical line charts for ungrouped discrete numerical data,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tables and line graphs for time series data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know their appropriate use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the four operations of number.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find common factors.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have a basic understanding of fractions as being ‘parts of a whole’. 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define percentage as ‘number of parts per hundred’.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number complements to 10 and multiplication tables.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90180" w:rsidRPr="00954152" w:rsidRDefault="00D90180" w:rsidP="00D9018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D90180" w:rsidRPr="00954152" w:rsidRDefault="00D90180" w:rsidP="00D9018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Decimal, percentage, inverse, addition, subtraction, multiplication, division, fractions, mixed, improper, recurring, integer, decimal, terminating, percentage, VAT, increase, decrease, multiplier, profit, loss</w:t>
      </w:r>
    </w:p>
    <w:p w:rsidR="00C625DB" w:rsidRDefault="00C625DB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br w:type="page"/>
      </w:r>
    </w:p>
    <w:p w:rsidR="00C625DB" w:rsidRDefault="00C625DB" w:rsidP="00C625DB"/>
    <w:tbl>
      <w:tblPr>
        <w:tblStyle w:val="TableGrid"/>
        <w:tblpPr w:leftFromText="180" w:rightFromText="180" w:vertAnchor="text" w:tblpY="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988"/>
        <w:gridCol w:w="2694"/>
      </w:tblGrid>
      <w:tr w:rsidR="00C625DB" w:rsidRPr="00954152" w:rsidTr="007D2A12">
        <w:tc>
          <w:tcPr>
            <w:tcW w:w="3739" w:type="pct"/>
            <w:shd w:val="clear" w:color="auto" w:fill="8DB3E2" w:themeFill="text2" w:themeFillTint="66"/>
            <w:vAlign w:val="center"/>
          </w:tcPr>
          <w:p w:rsidR="00C625DB" w:rsidRPr="00954152" w:rsidRDefault="00C625DB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Unit4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4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>b</w:t>
            </w: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. Percentages</w:t>
            </w:r>
          </w:p>
          <w:p w:rsidR="00C625DB" w:rsidRPr="00954152" w:rsidRDefault="00C625DB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(N12,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N13,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R9)</w:t>
            </w:r>
            <w:bookmarkEnd w:id="1"/>
          </w:p>
        </w:tc>
        <w:tc>
          <w:tcPr>
            <w:tcW w:w="1261" w:type="pct"/>
            <w:shd w:val="clear" w:color="auto" w:fill="8DB3E2" w:themeFill="text2" w:themeFillTint="66"/>
          </w:tcPr>
          <w:p w:rsidR="00C625DB" w:rsidRPr="00954152" w:rsidRDefault="00C625DB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C625DB" w:rsidRPr="00954152" w:rsidRDefault="00C625DB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C625DB" w:rsidRDefault="00C625DB" w:rsidP="00C625DB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Express a given number as a percentage of another number;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percentage of a quantity without a calculator: 50%, 25% and multiples of 10% and 5%;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percentage of a quantity or measurement (use measurements they should know from Key Stage 3 only);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amount of increase/decrease;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percentages to solve problems, including comparisons of two quantities using percentages;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Percentages over 100%;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percentages in real-life situations, including percentages greater than 100%: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Price after VAT (not price before VAT);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Value of profit or loss;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Simple interest;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Income tax calculations;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decimals to find quantities;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percentage of a quantity, including using a multiplier;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multiplier to increase or decrease by a percentage in any scenario where percentages are used; </w:t>
      </w:r>
    </w:p>
    <w:p w:rsidR="00C625DB" w:rsidRPr="00954152" w:rsidRDefault="00C625DB" w:rsidP="00C625DB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the multiplicative nature of percentages as operators. 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625DB" w:rsidRPr="00954152" w:rsidRDefault="00C625DB" w:rsidP="00C625D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POSSIBLE SUCCESS CRITERIA 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What is 10%, 15%, 17.5% of £30? 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625DB" w:rsidRPr="00360F26" w:rsidRDefault="00C625DB" w:rsidP="00C625DB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360F26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C625DB" w:rsidRPr="00360F26" w:rsidRDefault="00C625DB" w:rsidP="00C625DB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360F26">
        <w:rPr>
          <w:rFonts w:ascii="Verdana" w:hAnsi="Verdana"/>
          <w:color w:val="0F243E"/>
          <w:sz w:val="20"/>
          <w:szCs w:val="20"/>
        </w:rPr>
        <w:t xml:space="preserve">Sale prices offer an ideal opportunity for solving problems allowing students the opportunity to investigate the most effective way to work out the “sale” price. </w:t>
      </w:r>
    </w:p>
    <w:p w:rsidR="00C625DB" w:rsidRPr="00360F26" w:rsidRDefault="00C625DB" w:rsidP="00C625DB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360F26">
        <w:rPr>
          <w:rFonts w:ascii="Verdana" w:hAnsi="Verdana"/>
          <w:color w:val="0F243E"/>
          <w:sz w:val="20"/>
          <w:szCs w:val="20"/>
        </w:rPr>
        <w:t>Problems that involve consecutive reductions such as: Sale Prices are 10% off the previous day</w:t>
      </w:r>
      <w:r>
        <w:rPr>
          <w:rFonts w:ascii="Verdana" w:hAnsi="Verdana"/>
          <w:color w:val="0F243E"/>
          <w:sz w:val="20"/>
          <w:szCs w:val="20"/>
        </w:rPr>
        <w:t>’</w:t>
      </w:r>
      <w:r w:rsidRPr="00360F26">
        <w:rPr>
          <w:rFonts w:ascii="Verdana" w:hAnsi="Verdana"/>
          <w:color w:val="0F243E"/>
          <w:sz w:val="20"/>
          <w:szCs w:val="20"/>
        </w:rPr>
        <w:t>s price. If a jacket is £90 on Monday, what is the price on Wednesday?</w:t>
      </w:r>
    </w:p>
    <w:p w:rsidR="00C625DB" w:rsidRPr="00360F26" w:rsidRDefault="00C625DB" w:rsidP="00C625DB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C625DB" w:rsidRPr="00954152" w:rsidRDefault="00C625DB" w:rsidP="00C625D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C625DB" w:rsidRPr="00954152" w:rsidRDefault="00C625DB" w:rsidP="00C625DB">
      <w:pPr>
        <w:spacing w:after="0"/>
        <w:jc w:val="both"/>
        <w:rPr>
          <w:rFonts w:ascii="Verdana" w:hAnsi="Verdana" w:cs="Vrind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It is not possible to have a percentage greater than 100%.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625DB" w:rsidRPr="00954152" w:rsidRDefault="00C625DB" w:rsidP="00C625D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finding a percentage of a quantity or measurement, use only measurements they should know from Key Stage 3.</w:t>
      </w:r>
    </w:p>
    <w:p w:rsidR="00C625DB" w:rsidRPr="00954152" w:rsidRDefault="00C625DB" w:rsidP="00C625D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Amounts of money should always be rounded to the nearest penny.</w:t>
      </w:r>
    </w:p>
    <w:p w:rsidR="00C625DB" w:rsidRPr="00954152" w:rsidRDefault="00C625DB" w:rsidP="00C625DB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real-life examples where possible.</w:t>
      </w:r>
    </w:p>
    <w:p w:rsidR="00C625DB" w:rsidRPr="00954152" w:rsidRDefault="00C625DB" w:rsidP="00C625DB">
      <w:pPr>
        <w:spacing w:after="0"/>
        <w:jc w:val="both"/>
        <w:rPr>
          <w:rFonts w:ascii="Verdana" w:hAnsi="Verdana" w:cs="Vrinda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Vrinda"/>
          <w:color w:val="0F243E" w:themeColor="text2" w:themeShade="80"/>
          <w:sz w:val="20"/>
          <w:szCs w:val="20"/>
        </w:rPr>
        <w:t>Emphasise the importance of being able to convert between decimals and percentages and the use of decimal multipliers to make calculations easier.</w:t>
      </w:r>
    </w:p>
    <w:p w:rsidR="00C625DB" w:rsidRPr="00954152" w:rsidRDefault="00C625DB" w:rsidP="00C625DB">
      <w:pPr>
        <w:rPr>
          <w:b/>
        </w:rPr>
      </w:pPr>
      <w:bookmarkStart w:id="2" w:name="_GoBack"/>
      <w:bookmarkEnd w:id="2"/>
    </w:p>
    <w:sectPr w:rsidR="00C625DB" w:rsidRPr="00954152" w:rsidSect="00CE60A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625D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C625DB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625D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481D02" w:rsidRPr="00BA2A5D" w:rsidRDefault="00C625DB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625D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C625DB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C625DB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13301E"/>
    <w:rsid w:val="00201CAE"/>
    <w:rsid w:val="0026276C"/>
    <w:rsid w:val="004028EB"/>
    <w:rsid w:val="006822B8"/>
    <w:rsid w:val="007C64E1"/>
    <w:rsid w:val="009D76AE"/>
    <w:rsid w:val="009F2E0F"/>
    <w:rsid w:val="00C625DB"/>
    <w:rsid w:val="00CD3C2E"/>
    <w:rsid w:val="00CE60A1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2016-07-08T07:23:00Z</dcterms:created>
  <dcterms:modified xsi:type="dcterms:W3CDTF">2016-07-08T07:23:00Z</dcterms:modified>
</cp:coreProperties>
</file>