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80" w:rsidRPr="00954152" w:rsidRDefault="00D90180" w:rsidP="00D90180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D90180" w:rsidRPr="00954152" w:rsidTr="007D2A12">
        <w:trPr>
          <w:trHeight w:val="72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D90180" w:rsidRPr="00954152" w:rsidRDefault="00D90180" w:rsidP="007D2A12">
            <w:pPr>
              <w:spacing w:line="276" w:lineRule="auto"/>
            </w:pPr>
            <w:bookmarkStart w:id="0" w:name="Unit4"/>
            <w:r w:rsidRPr="00954152">
              <w:rPr>
                <w:rFonts w:ascii="Verdana" w:hAnsi="Verdana"/>
                <w:b/>
              </w:rPr>
              <w:t>UNIT 4: Fractions and percentages</w:t>
            </w:r>
            <w:r w:rsidRPr="00954152">
              <w:t xml:space="preserve"> </w:t>
            </w:r>
            <w:bookmarkEnd w:id="0"/>
          </w:p>
        </w:tc>
      </w:tr>
    </w:tbl>
    <w:p w:rsidR="00D90180" w:rsidRPr="00954152" w:rsidRDefault="00D90180" w:rsidP="00D90180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D90180" w:rsidRPr="00954152" w:rsidRDefault="00D90180" w:rsidP="00D90180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order positive and negative integers, decimals and fractions; use the symbols =, ≠, &lt;, &gt;, ≤, ≥ 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apply the four operations, including formal written methods, to integers, decimals and simple fractions (proper and improper), and mixed numbers – all both positive and negative; understand and use place value (e.g. when working with very large or very small numbers, and when calculating with decimals)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recognise and use relationships between operations, including inverse operations (e.g. cancellation to simplify calculations and expressions); use conventional notation for priority of operations, including brackets, powers, roots and reciprocals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N8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calculate exactly with fractions …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N10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work interchangeably with terminating decimals and their corresponding fractions (such as 3.5 and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9.65pt;height:26.85pt" o:ole="">
            <v:imagedata r:id="rId6" o:title=""/>
          </v:shape>
          <o:OLEObject Type="Embed" ProgID="Equation.DSMT4" ShapeID="_x0000_i1052" DrawAspect="Content" ObjectID="_1529471376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0.375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and </w:t>
      </w:r>
      <w:proofErr w:type="gramEnd"/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220" w:dyaOrig="560">
          <v:shape id="_x0000_i1053" type="#_x0000_t75" style="width:9.65pt;height:29pt" o:ole="">
            <v:imagedata r:id="rId8" o:title=""/>
          </v:shape>
          <o:OLEObject Type="Embed" ProgID="Equation.DSMT4" ShapeID="_x0000_i1053" DrawAspect="Content" ObjectID="_1529471377" r:id="rId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interpret fractions and percentages as operators</w:t>
      </w:r>
    </w:p>
    <w:p w:rsidR="00D90180" w:rsidRPr="00954152" w:rsidRDefault="00D90180" w:rsidP="00D90180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N13</w:t>
      </w:r>
      <w:r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4019B4">
        <w:rPr>
          <w:rFonts w:ascii="Verdana" w:hAnsi="Verdana"/>
          <w:color w:val="0F243E" w:themeColor="text2" w:themeShade="80"/>
          <w:sz w:val="20"/>
          <w:szCs w:val="20"/>
        </w:rPr>
        <w:t>use standard units of mass, length, time, money and other measures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4019B4">
        <w:rPr>
          <w:rFonts w:ascii="Verdana" w:hAnsi="Verdana"/>
          <w:color w:val="0F243E" w:themeColor="text2" w:themeShade="80"/>
          <w:sz w:val="20"/>
          <w:szCs w:val="20"/>
        </w:rPr>
        <w:t>(including standard compound measures) using decimal quantities where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4019B4">
        <w:rPr>
          <w:rFonts w:ascii="Verdana" w:hAnsi="Verdana"/>
          <w:color w:val="0F243E" w:themeColor="text2" w:themeShade="80"/>
          <w:sz w:val="20"/>
          <w:szCs w:val="20"/>
        </w:rPr>
        <w:t>appropriate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R3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express one quantity as a fraction of another, where the fraction is less than 1 or greater than 1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R9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define percentage as ‘number of parts per hundred’; interpret percentages and percentage changes as a fraction or a decimal, and interpret these multiplicatively; express one quantity as a percentage of another; compare two quantities using percentages; work with percentages greater than 100%; solve problems involving percentage change, including percentage increase/decrease, and original value problems and simple interest including in financial mathematics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interpret and construct tables, charts and diagrams, including frequency tables, bar charts, pie charts and pictograms for categorical data, vertical line charts for ungrouped discrete numerical data,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tables and line graphs for time series data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know their appropriate use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D90180" w:rsidRPr="00954152" w:rsidRDefault="00D90180" w:rsidP="00D9018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use the four operations of number.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find common factors.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have a basic understanding of fractions as being ‘parts of a whole’.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define percentage as ‘number of parts per hundred’.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number complements to 10 and multiplication tables.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90180" w:rsidRPr="00954152" w:rsidRDefault="00D90180" w:rsidP="00D9018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Decimal, percentage, inverse, addition, subtraction, multiplication, division, fractions, mixed, improper, recurring, integer, decimal, terminating, percentage, VAT, increase, decrease, multiplier, profit, loss</w:t>
      </w:r>
    </w:p>
    <w:p w:rsidR="00D90180" w:rsidRPr="00954152" w:rsidRDefault="00D90180" w:rsidP="00D90180">
      <w:pPr>
        <w:spacing w:after="0"/>
        <w:jc w:val="both"/>
        <w:rPr>
          <w:b/>
          <w:color w:val="0F243E" w:themeColor="text2" w:themeShade="80"/>
        </w:rPr>
      </w:pPr>
    </w:p>
    <w:p w:rsidR="00D90180" w:rsidRPr="00954152" w:rsidRDefault="00D90180" w:rsidP="00D90180">
      <w:pPr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D90180" w:rsidRPr="00954152" w:rsidTr="007D2A12">
        <w:tc>
          <w:tcPr>
            <w:tcW w:w="3867" w:type="pct"/>
            <w:shd w:val="clear" w:color="auto" w:fill="8DB3E2" w:themeFill="text2" w:themeFillTint="66"/>
            <w:vAlign w:val="center"/>
          </w:tcPr>
          <w:p w:rsidR="00D90180" w:rsidRPr="00954152" w:rsidRDefault="00D90180" w:rsidP="007D2A12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</w:rPr>
            </w:pPr>
            <w:bookmarkStart w:id="1" w:name="Unit4a"/>
            <w:r w:rsidRPr="00954152">
              <w:rPr>
                <w:rFonts w:ascii="Verdana" w:hAnsi="Verdana"/>
                <w:b/>
                <w:color w:val="0F243E" w:themeColor="text2" w:themeShade="80"/>
              </w:rPr>
              <w:lastRenderedPageBreak/>
              <w:t>4a. Fractions</w:t>
            </w:r>
            <w:r>
              <w:rPr>
                <w:rFonts w:ascii="Verdana" w:hAnsi="Verdana"/>
                <w:b/>
                <w:color w:val="0F243E" w:themeColor="text2" w:themeShade="80"/>
              </w:rPr>
              <w:t>, decimals and percentages</w:t>
            </w:r>
          </w:p>
          <w:bookmarkEnd w:id="1"/>
          <w:p w:rsidR="00D90180" w:rsidRPr="00954152" w:rsidRDefault="00D90180" w:rsidP="007D2A12">
            <w:pPr>
              <w:spacing w:line="276" w:lineRule="auto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 xml:space="preserve">(N1, N2, N3, </w:t>
            </w:r>
            <w:r>
              <w:rPr>
                <w:rFonts w:ascii="Verdana" w:hAnsi="Verdana"/>
                <w:color w:val="0F243E" w:themeColor="text2" w:themeShade="80"/>
              </w:rPr>
              <w:t xml:space="preserve">N8, N10, </w:t>
            </w:r>
            <w:r w:rsidRPr="00954152">
              <w:rPr>
                <w:rFonts w:ascii="Verdana" w:hAnsi="Verdana"/>
                <w:color w:val="0F243E" w:themeColor="text2" w:themeShade="80"/>
              </w:rPr>
              <w:t xml:space="preserve">N12, </w:t>
            </w:r>
            <w:r>
              <w:rPr>
                <w:rFonts w:ascii="Verdana" w:hAnsi="Verdana"/>
                <w:color w:val="0F243E" w:themeColor="text2" w:themeShade="80"/>
              </w:rPr>
              <w:t xml:space="preserve">N13, </w:t>
            </w:r>
            <w:r w:rsidRPr="00954152">
              <w:rPr>
                <w:rFonts w:ascii="Verdana" w:hAnsi="Verdana"/>
                <w:color w:val="0F243E" w:themeColor="text2" w:themeShade="80"/>
              </w:rPr>
              <w:t>R3,</w:t>
            </w:r>
            <w:r>
              <w:rPr>
                <w:rFonts w:ascii="Verdana" w:hAnsi="Verdana"/>
                <w:color w:val="0F243E" w:themeColor="text2" w:themeShade="80"/>
              </w:rPr>
              <w:t xml:space="preserve"> R9,</w:t>
            </w:r>
            <w:r w:rsidRPr="00954152">
              <w:rPr>
                <w:rFonts w:ascii="Verdana" w:hAnsi="Verdana"/>
                <w:color w:val="0F243E" w:themeColor="text2" w:themeShade="80"/>
              </w:rPr>
              <w:t xml:space="preserve"> S2)</w:t>
            </w:r>
          </w:p>
        </w:tc>
        <w:tc>
          <w:tcPr>
            <w:tcW w:w="1133" w:type="pct"/>
            <w:shd w:val="clear" w:color="auto" w:fill="8DB3E2" w:themeFill="text2" w:themeFillTint="66"/>
          </w:tcPr>
          <w:p w:rsidR="00D90180" w:rsidRPr="00954152" w:rsidRDefault="00D90180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t>Teaching time</w:t>
            </w:r>
          </w:p>
          <w:p w:rsidR="00D90180" w:rsidRPr="00954152" w:rsidRDefault="00D90180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6–8 hours</w:t>
            </w:r>
          </w:p>
        </w:tc>
      </w:tr>
    </w:tbl>
    <w:p w:rsidR="00D90180" w:rsidRPr="00954152" w:rsidRDefault="00D90180" w:rsidP="00D90180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diagrams to find equivalent fractions or compare fractions;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fractions to describe shaded parts of diagrams;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Express a given number as a fraction of another, using very simple numbers, some cancelling, and where the fraction is both &lt; 1 and &gt; 1;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a fraction in its simplest form and find equivalent fractions;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Order fractions, by using a common denominator;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Compare fractions, use inequality signs, compare unit fractions;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Convert between mixed numbers and improper fractions;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Add and subtract fractions;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Add fractions and write the answer as a mixed number;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Multiply and divide an integer by a fraction;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Multiply and divide a fraction by an integer, including finding fractions of quantities or measurements, and apply this by finding the size of each category from a pie chart using fractions;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unit fractions as multiplicative inverses;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Multiply fractions: simplify calculations by cancelling first;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Divide a fraction by a whole number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and another fraction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Recall the fraction-to-decimal conversion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and convert fractions to decimals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Convert a fraction to a decimal to make a calculation easier, </w:t>
      </w:r>
      <w:r>
        <w:rPr>
          <w:rFonts w:ascii="Verdana" w:hAnsi="Verdana"/>
          <w:color w:val="0F243E" w:themeColor="text2" w:themeShade="80"/>
          <w:sz w:val="20"/>
          <w:szCs w:val="20"/>
        </w:rPr>
        <w:br/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e.g. 0.25 × 8 =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40" w:dyaOrig="540">
          <v:shape id="_x0000_i1054" type="#_x0000_t75" style="width:12.9pt;height:26.85pt" o:ole="">
            <v:imagedata r:id="rId10" o:title=""/>
          </v:shape>
          <o:OLEObject Type="Embed" ProgID="Equation.DSMT4" ShapeID="_x0000_i1054" DrawAspect="Content" ObjectID="_1529471378" r:id="rId11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8, or </w:t>
      </w:r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220" w:dyaOrig="560">
          <v:shape id="_x0000_i1055" type="#_x0000_t75" style="width:9.65pt;height:29pt" o:ole="">
            <v:imagedata r:id="rId8" o:title=""/>
          </v:shape>
          <o:OLEObject Type="Embed" ProgID="Equation.DSMT4" ShapeID="_x0000_i1055" DrawAspect="Content" ObjectID="_1529471379" r:id="rId12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10 = 0.375 × 10;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recurring decimals and convert fractions such as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20">
          <v:shape id="_x0000_i1056" type="#_x0000_t75" style="width:9.65pt;height:25.8pt" o:ole="">
            <v:imagedata r:id="rId13" o:title=""/>
          </v:shape>
          <o:OLEObject Type="Embed" ProgID="Equation.DSMT4" ShapeID="_x0000_i1056" DrawAspect="Content" ObjectID="_1529471380" r:id="rId14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20">
          <v:shape id="_x0000_i1057" type="#_x0000_t75" style="width:9.65pt;height:25.8pt" o:ole="">
            <v:imagedata r:id="rId15" o:title=""/>
          </v:shape>
          <o:OLEObject Type="Embed" ProgID="Equation.DSMT4" ShapeID="_x0000_i1057" DrawAspect="Content" ObjectID="_1529471381" r:id="rId16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20">
          <v:shape id="_x0000_i1058" type="#_x0000_t75" style="width:9.65pt;height:25.8pt" o:ole="">
            <v:imagedata r:id="rId17" o:title=""/>
          </v:shape>
          <o:OLEObject Type="Embed" ProgID="Equation.DSMT4" ShapeID="_x0000_i1058" DrawAspect="Content" ObjectID="_1529471382" r:id="rId18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into recurring decimals; 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Compare and order fractions, decimals and integers, using inequality signs;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that a percentage is a fraction in hundredths;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Express a given number as a percentage of another number;</w:t>
      </w:r>
    </w:p>
    <w:p w:rsidR="00D90180" w:rsidRPr="00954152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Convert between fractions, decimals and percentages; </w:t>
      </w:r>
    </w:p>
    <w:p w:rsidR="00D90180" w:rsidRPr="00ED707F" w:rsidRDefault="00D90180" w:rsidP="00D90180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Order fractions, decimals and percentages, including use of inequality signs.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D90180" w:rsidRPr="00954152" w:rsidRDefault="00D90180" w:rsidP="00D9018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POSSIBLE SUCCESS CRITERIA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Express a given number as a fraction of another, including where the fraction &gt; 1.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Simplify </w:t>
      </w:r>
      <w:proofErr w:type="gramEnd"/>
      <w:r w:rsidRPr="00954152">
        <w:rPr>
          <w:rFonts w:ascii="Verdana" w:hAnsi="Verdana"/>
          <w:color w:val="0F243E" w:themeColor="text2" w:themeShade="80"/>
          <w:position w:val="-12"/>
          <w:sz w:val="20"/>
          <w:szCs w:val="20"/>
        </w:rPr>
        <w:object w:dxaOrig="320" w:dyaOrig="340">
          <v:shape id="_x0000_i1059" type="#_x0000_t75" style="width:16.1pt;height:16.1pt" o:ole="">
            <v:imagedata r:id="rId19" o:title=""/>
          </v:shape>
          <o:OLEObject Type="Embed" ProgID="Equation.DSMT4" ShapeID="_x0000_i1059" DrawAspect="Content" ObjectID="_1529471383" r:id="rId20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position w:val="-12"/>
          <w:sz w:val="20"/>
          <w:szCs w:val="20"/>
        </w:rPr>
        <w:object w:dxaOrig="180" w:dyaOrig="340">
          <v:shape id="_x0000_i1060" type="#_x0000_t75" style="width:8.6pt;height:16.1pt" o:ole="">
            <v:imagedata r:id="rId21" o:title=""/>
          </v:shape>
          <o:OLEObject Type="Embed" ProgID="Equation.DSMT4" ShapeID="_x0000_i1060" DrawAspect="Content" ObjectID="_1529471384" r:id="rId22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15, 20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× </w:t>
      </w:r>
      <w:proofErr w:type="gramEnd"/>
      <w:r w:rsidRPr="00954152">
        <w:rPr>
          <w:rFonts w:ascii="Verdana" w:hAnsi="Verdana"/>
          <w:color w:val="0F243E" w:themeColor="text2" w:themeShade="80"/>
          <w:position w:val="-12"/>
          <w:sz w:val="20"/>
          <w:szCs w:val="20"/>
        </w:rPr>
        <w:object w:dxaOrig="180" w:dyaOrig="340">
          <v:shape id="_x0000_i1061" type="#_x0000_t75" style="width:8.6pt;height:16.1pt" o:ole="">
            <v:imagedata r:id="rId23" o:title=""/>
          </v:shape>
          <o:OLEObject Type="Embed" ProgID="Equation.DSMT4" ShapeID="_x0000_i1061" DrawAspect="Content" ObjectID="_1529471385" r:id="rId24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position w:val="-12"/>
          <w:sz w:val="20"/>
          <w:szCs w:val="20"/>
        </w:rPr>
        <w:object w:dxaOrig="180" w:dyaOrig="340">
          <v:shape id="_x0000_i1062" type="#_x0000_t75" style="width:8.6pt;height:16.1pt" o:ole="">
            <v:imagedata r:id="rId25" o:title=""/>
          </v:shape>
          <o:OLEObject Type="Embed" ProgID="Equation.DSMT4" ShapeID="_x0000_i1062" DrawAspect="Content" ObjectID="_1529471386" r:id="rId26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of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36 m, </w:t>
      </w:r>
      <w:r w:rsidRPr="00954152">
        <w:rPr>
          <w:rFonts w:ascii="Verdana" w:hAnsi="Verdana"/>
          <w:color w:val="0F243E" w:themeColor="text2" w:themeShade="80"/>
          <w:position w:val="-12"/>
          <w:sz w:val="20"/>
          <w:szCs w:val="20"/>
        </w:rPr>
        <w:object w:dxaOrig="180" w:dyaOrig="340">
          <v:shape id="_x0000_i1063" type="#_x0000_t75" style="width:8.6pt;height:16.1pt" o:ole="">
            <v:imagedata r:id="rId27" o:title=""/>
          </v:shape>
          <o:OLEObject Type="Embed" ProgID="Equation.DSMT4" ShapeID="_x0000_i1063" DrawAspect="Content" ObjectID="_1529471387" r:id="rId28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of £20.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size of each category from a pie chart using fractions. </w:t>
      </w:r>
    </w:p>
    <w:p w:rsidR="00D90180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Calculate: </w:t>
      </w:r>
      <w:r w:rsidRPr="00954152">
        <w:rPr>
          <w:rFonts w:ascii="Verdana" w:hAnsi="Verdana"/>
          <w:color w:val="0F243E" w:themeColor="text2" w:themeShade="80"/>
          <w:position w:val="-12"/>
          <w:sz w:val="20"/>
          <w:szCs w:val="20"/>
        </w:rPr>
        <w:object w:dxaOrig="180" w:dyaOrig="340">
          <v:shape id="_x0000_i1064" type="#_x0000_t75" style="width:8.6pt;height:16.1pt" o:ole="">
            <v:imagedata r:id="rId25" o:title=""/>
          </v:shape>
          <o:OLEObject Type="Embed" ProgID="Equation.DSMT4" ShapeID="_x0000_i1064" DrawAspect="Content" ObjectID="_1529471388" r:id="rId2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× </w:t>
      </w:r>
      <w:proofErr w:type="gramEnd"/>
      <w:r w:rsidRPr="00954152">
        <w:rPr>
          <w:rFonts w:ascii="Verdana" w:hAnsi="Verdana"/>
          <w:color w:val="0F243E" w:themeColor="text2" w:themeShade="80"/>
          <w:position w:val="-12"/>
          <w:sz w:val="20"/>
          <w:szCs w:val="20"/>
        </w:rPr>
        <w:object w:dxaOrig="180" w:dyaOrig="340">
          <v:shape id="_x0000_i1065" type="#_x0000_t75" style="width:8.6pt;height:16.1pt" o:ole="">
            <v:imagedata r:id="rId30" o:title=""/>
          </v:shape>
          <o:OLEObject Type="Embed" ProgID="Equation.DSMT4" ShapeID="_x0000_i1065" DrawAspect="Content" ObjectID="_1529471389" r:id="rId31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Verdana" w:hAnsi="Verdana"/>
          <w:color w:val="0F243E" w:themeColor="text2" w:themeShade="80"/>
          <w:position w:val="-12"/>
          <w:sz w:val="20"/>
          <w:szCs w:val="20"/>
        </w:rPr>
        <w:object w:dxaOrig="180" w:dyaOrig="340">
          <v:shape id="_x0000_i1066" type="#_x0000_t75" style="width:8.6pt;height:16.1pt" o:ole="">
            <v:imagedata r:id="rId21" o:title=""/>
          </v:shape>
          <o:OLEObject Type="Embed" ProgID="Equation.DSMT4" ShapeID="_x0000_i1066" DrawAspect="Content" ObjectID="_1529471390" r:id="rId32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÷ 3.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terminating decimals (up to 3 </w:t>
      </w:r>
      <w:proofErr w:type="spellStart"/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d.p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as fractions.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Convert between fractions, decimals and percentages, common ones such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as </w:t>
      </w:r>
      <w:proofErr w:type="gramEnd"/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20">
          <v:shape id="_x0000_i1067" type="#_x0000_t75" style="width:9.65pt;height:25.8pt" o:ole="">
            <v:imagedata r:id="rId33" o:title=""/>
          </v:shape>
          <o:OLEObject Type="Embed" ProgID="Equation.DSMT4" ShapeID="_x0000_i1067" DrawAspect="Content" ObjectID="_1529471391" r:id="rId34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340" w:dyaOrig="520">
          <v:shape id="_x0000_i1068" type="#_x0000_t75" style="width:16.1pt;height:25.8pt" o:ole="">
            <v:imagedata r:id="rId35" o:title=""/>
          </v:shape>
          <o:OLEObject Type="Embed" ProgID="Equation.DSMT4" ShapeID="_x0000_i1068" DrawAspect="Content" ObjectID="_1529471392" r:id="rId36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40" w:dyaOrig="540">
          <v:shape id="_x0000_i1069" type="#_x0000_t75" style="width:12.9pt;height:26.85pt" o:ole="">
            <v:imagedata r:id="rId10" o:title=""/>
          </v:shape>
          <o:OLEObject Type="Embed" ProgID="Equation.DSMT4" ShapeID="_x0000_i1069" DrawAspect="Content" ObjectID="_1529471393" r:id="rId3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40" w:dyaOrig="520">
          <v:shape id="_x0000_i1070" type="#_x0000_t75" style="width:12.9pt;height:25.8pt" o:ole="">
            <v:imagedata r:id="rId38" o:title=""/>
          </v:shape>
          <o:OLEObject Type="Embed" ProgID="Equation.DSMT4" ShapeID="_x0000_i1070" DrawAspect="Content" ObjectID="_1529471394" r:id="rId3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340" w:dyaOrig="520">
          <v:shape id="_x0000_i1071" type="#_x0000_t75" style="width:16.1pt;height:25.8pt" o:ole="">
            <v:imagedata r:id="rId40" o:title=""/>
          </v:shape>
          <o:OLEObject Type="Embed" ProgID="Equation.DSMT4" ShapeID="_x0000_i1071" DrawAspect="Content" ObjectID="_1529471395" r:id="rId41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Order integers, decimals and fractions.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90180" w:rsidRPr="00360F26" w:rsidRDefault="00D90180" w:rsidP="00D90180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360F26">
        <w:rPr>
          <w:rFonts w:ascii="Verdana" w:hAnsi="Verdana"/>
          <w:b/>
          <w:color w:val="0F243E"/>
          <w:sz w:val="20"/>
          <w:szCs w:val="20"/>
        </w:rPr>
        <w:t>OPPORTUNITIES FOR REASONING/PROBLEM SOLVING</w:t>
      </w:r>
    </w:p>
    <w:p w:rsidR="00D90180" w:rsidRPr="00360F26" w:rsidRDefault="00D90180" w:rsidP="00D90180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360F26">
        <w:rPr>
          <w:rFonts w:ascii="Verdana" w:hAnsi="Verdana"/>
          <w:color w:val="0F243E"/>
          <w:sz w:val="20"/>
          <w:szCs w:val="20"/>
        </w:rPr>
        <w:lastRenderedPageBreak/>
        <w:t xml:space="preserve">Questions that involve rates of overtime pay including simple calculations involving fractional (&gt;1, e.g. 1.5) and hourly pay. These can be extended into calculating rates of pay given the final payment and number of hours worked. </w:t>
      </w:r>
    </w:p>
    <w:p w:rsidR="00D90180" w:rsidRPr="00360F26" w:rsidRDefault="00D90180" w:rsidP="00D90180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360F26">
        <w:rPr>
          <w:rFonts w:ascii="Verdana" w:hAnsi="Verdana"/>
          <w:color w:val="0F243E"/>
          <w:sz w:val="20"/>
          <w:szCs w:val="20"/>
        </w:rPr>
        <w:t>Working out the number of people/things where the number of people/things in different categories is given as a fraction, decimal or percentage.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90180" w:rsidRPr="00954152" w:rsidRDefault="00D90180" w:rsidP="00D9018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D90180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The larger the denominator the larger the fraction.</w:t>
      </w:r>
      <w:proofErr w:type="gramEnd"/>
    </w:p>
    <w:p w:rsidR="00D90180" w:rsidRPr="00954152" w:rsidRDefault="00D90180" w:rsidP="00D90180">
      <w:pPr>
        <w:suppressAutoHyphens/>
        <w:spacing w:after="0"/>
        <w:jc w:val="both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 xml:space="preserve">Incorrect links between fractions and decimals, such as thinking that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20">
          <v:shape id="_x0000_i1072" type="#_x0000_t75" style="width:9.65pt;height:25.8pt" o:ole="">
            <v:imagedata r:id="rId42" o:title=""/>
          </v:shape>
          <o:OLEObject Type="Embed" ProgID="Equation.DSMT4" ShapeID="_x0000_i1072" DrawAspect="Content" ObjectID="_1529471396" r:id="rId43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 xml:space="preserve">= 0.15, 5% = 0.5, </w:t>
      </w: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br/>
        <w:t>4% = 0.4, etc.</w:t>
      </w:r>
    </w:p>
    <w:p w:rsidR="00D90180" w:rsidRPr="00954152" w:rsidRDefault="00D90180" w:rsidP="00D90180">
      <w:pPr>
        <w:spacing w:after="0"/>
        <w:jc w:val="both"/>
        <w:rPr>
          <w:rFonts w:ascii="Verdana" w:hAnsi="Verdana" w:cs="Vrind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It is not possible to have a percentage greater than 100%.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90180" w:rsidRPr="00954152" w:rsidRDefault="00D90180" w:rsidP="00D9018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D90180" w:rsidRPr="00954152" w:rsidRDefault="00D90180" w:rsidP="00D90180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Emphasise the importance of being able to convert between fractions, decimals and percentages to make calculations easier.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expressing a given number as a fraction of another, start with very simple numbers &lt; 1, and include some cancelling before fractions using numbers &gt; 1.</w:t>
      </w:r>
    </w:p>
    <w:p w:rsidR="00D90180" w:rsidRPr="00954152" w:rsidRDefault="00D90180" w:rsidP="00D90180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Students should be reminded of basic percentages and fraction conversions.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adding and subtracting fractions, start with same denominator, then where one denominator is a multiple of the other (answers ≤ 1), and finally where both denominators have to be changed (answers ≤ 1).</w:t>
      </w:r>
    </w:p>
    <w:p w:rsidR="00D90180" w:rsidRPr="00954152" w:rsidRDefault="00D90180" w:rsidP="00D90180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Regular revision of fractions is essential.</w:t>
      </w:r>
    </w:p>
    <w:p w:rsidR="00D90180" w:rsidRPr="00954152" w:rsidRDefault="00D90180" w:rsidP="00D90180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Demonstrate how to the use the fraction button on the calculator.</w:t>
      </w:r>
    </w:p>
    <w:p w:rsidR="00D90180" w:rsidRPr="00954152" w:rsidRDefault="00D90180" w:rsidP="00D90180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real-life examples where possible.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long division to illustrate recurring decimals.</w:t>
      </w:r>
    </w:p>
    <w:p w:rsidR="00D90180" w:rsidRDefault="00D90180" w:rsidP="00D90180">
      <w:bookmarkStart w:id="2" w:name="_GoBack"/>
      <w:bookmarkEnd w:id="2"/>
    </w:p>
    <w:sectPr w:rsidR="00D90180" w:rsidSect="00CE60A1">
      <w:headerReference w:type="default" r:id="rId44"/>
      <w:footerReference w:type="even" r:id="rId45"/>
      <w:footerReference w:type="default" r:id="rId46"/>
      <w:footerReference w:type="first" r:id="rId4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D90180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D90180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D90180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481D02" w:rsidRPr="00BA2A5D" w:rsidRDefault="00D90180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D90180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D90180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D90180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13301E"/>
    <w:rsid w:val="00201CAE"/>
    <w:rsid w:val="0026276C"/>
    <w:rsid w:val="004028EB"/>
    <w:rsid w:val="006822B8"/>
    <w:rsid w:val="007C64E1"/>
    <w:rsid w:val="009D76AE"/>
    <w:rsid w:val="009F2E0F"/>
    <w:rsid w:val="00CD3C2E"/>
    <w:rsid w:val="00CE60A1"/>
    <w:rsid w:val="00D90180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footer" Target="footer3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2016-07-08T07:22:00Z</dcterms:created>
  <dcterms:modified xsi:type="dcterms:W3CDTF">2016-07-08T07:22:00Z</dcterms:modified>
</cp:coreProperties>
</file>