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4F" w:rsidRPr="00954152" w:rsidRDefault="00F6174F" w:rsidP="00F6174F">
      <w:pPr>
        <w:rPr>
          <w:color w:val="0F243E" w:themeColor="text2" w:themeShade="80"/>
        </w:rPr>
      </w:pPr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F6174F" w:rsidRPr="00954152" w:rsidTr="00CA1D2C">
        <w:trPr>
          <w:trHeight w:val="870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F6174F" w:rsidRPr="00954152" w:rsidRDefault="00F6174F" w:rsidP="00CA1D2C">
            <w:pPr>
              <w:spacing w:line="276" w:lineRule="auto"/>
              <w:rPr>
                <w:rFonts w:ascii="Verdana" w:hAnsi="Verdana"/>
                <w:b/>
                <w:color w:val="FFFFFF" w:themeColor="background1"/>
              </w:rPr>
            </w:pPr>
            <w:r w:rsidRPr="00954152">
              <w:rPr>
                <w:rFonts w:ascii="Verdana" w:hAnsi="Verdana"/>
                <w:b/>
                <w:color w:val="FFFFFF" w:themeColor="background1"/>
              </w:rPr>
              <w:t>U</w:t>
            </w:r>
            <w:bookmarkStart w:id="0" w:name="Unit18"/>
            <w:bookmarkEnd w:id="0"/>
            <w:r w:rsidRPr="00954152">
              <w:rPr>
                <w:rFonts w:ascii="Verdana" w:hAnsi="Verdana"/>
                <w:b/>
                <w:color w:val="FFFFFF" w:themeColor="background1"/>
              </w:rPr>
              <w:t>NIT 18: More fractions, reciprocals, standard form, zero and negative indices</w:t>
            </w:r>
          </w:p>
        </w:tc>
      </w:tr>
    </w:tbl>
    <w:p w:rsidR="00F6174F" w:rsidRPr="00954152" w:rsidRDefault="00F6174F" w:rsidP="00F6174F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F6174F" w:rsidRPr="00954152" w:rsidRDefault="00F6174F" w:rsidP="00F6174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F6174F" w:rsidRPr="00954152" w:rsidRDefault="00F6174F" w:rsidP="00F6174F">
      <w:pPr>
        <w:spacing w:after="0"/>
        <w:ind w:left="567" w:hanging="567"/>
        <w:jc w:val="both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apply the four operations, including formal written methods, to integers, decimals and simple fractions (proper and improper), and mixed numbers – all both positive and negative; understand and use place value (e.g. when working with very large or very small numbers, and when calculating with decimals)</w:t>
      </w:r>
    </w:p>
    <w:p w:rsidR="00F6174F" w:rsidRPr="00954152" w:rsidRDefault="00F6174F" w:rsidP="00F6174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N3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recognise and use relationships between operations, including inverse operations (e.g. cancellation to simplify calculations and expressions); use conventional notation for priority of operations, including brackets, powers, roots and reciprocals</w:t>
      </w:r>
    </w:p>
    <w:p w:rsidR="00F6174F" w:rsidRPr="00954152" w:rsidRDefault="00F6174F" w:rsidP="00F6174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N7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calculate with roots, and with integer indices</w:t>
      </w:r>
    </w:p>
    <w:p w:rsidR="00F6174F" w:rsidRPr="00954152" w:rsidRDefault="00F6174F" w:rsidP="00F6174F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N8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C952F3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calculate exactly with fractions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</w:t>
      </w:r>
    </w:p>
    <w:p w:rsidR="00F6174F" w:rsidRPr="00954152" w:rsidRDefault="00F6174F" w:rsidP="00F6174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calculate with and interpret standard form </w:t>
      </w:r>
      <w:proofErr w:type="gramStart"/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A</w:t>
      </w:r>
      <w:proofErr w:type="gramEnd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x 10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vertAlign w:val="superscript"/>
          <w:lang w:eastAsia="en-GB"/>
        </w:rPr>
        <w:t>n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, where 1 ≤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A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&lt; 10 and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n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is an integer.</w:t>
      </w:r>
    </w:p>
    <w:p w:rsidR="00F6174F" w:rsidRPr="00954152" w:rsidRDefault="00F6174F" w:rsidP="00F6174F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F6174F" w:rsidRPr="00954152" w:rsidRDefault="00F6174F" w:rsidP="00F6174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F6174F" w:rsidRPr="00954152" w:rsidRDefault="00F6174F" w:rsidP="00F6174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know how to do the four operations with fractions.</w:t>
      </w:r>
    </w:p>
    <w:p w:rsidR="00F6174F" w:rsidRPr="00954152" w:rsidRDefault="00F6174F" w:rsidP="00F6174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write powers of 10 in index form and recognise and recall powers of 10, i.e. 10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100.</w:t>
      </w:r>
    </w:p>
    <w:p w:rsidR="00F6174F" w:rsidRPr="00954152" w:rsidRDefault="00F6174F" w:rsidP="00F6174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recall the index laws.</w:t>
      </w:r>
    </w:p>
    <w:p w:rsidR="00F6174F" w:rsidRPr="00954152" w:rsidRDefault="00F6174F" w:rsidP="00F6174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F6174F" w:rsidRPr="00954152" w:rsidRDefault="00F6174F" w:rsidP="00F6174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F6174F" w:rsidRPr="00954152" w:rsidRDefault="00F6174F" w:rsidP="00F6174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Add, subtract, multiply, divide, mixed, improper, fraction, decimal, indices, standard form, power, reciprocal, index</w:t>
      </w:r>
    </w:p>
    <w:p w:rsidR="00F6174F" w:rsidRPr="00954152" w:rsidRDefault="00F6174F" w:rsidP="00F6174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F6174F" w:rsidRPr="00954152" w:rsidRDefault="00F6174F" w:rsidP="00F6174F">
      <w:pPr>
        <w:spacing w:line="288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color w:val="0F243E" w:themeColor="text2" w:themeShade="80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261"/>
        <w:gridCol w:w="2421"/>
      </w:tblGrid>
      <w:tr w:rsidR="00F6174F" w:rsidRPr="00954152" w:rsidTr="00CA1D2C">
        <w:tc>
          <w:tcPr>
            <w:tcW w:w="3867" w:type="pct"/>
            <w:shd w:val="clear" w:color="auto" w:fill="8DB3E2" w:themeFill="text2" w:themeFillTint="66"/>
            <w:vAlign w:val="center"/>
          </w:tcPr>
          <w:p w:rsidR="00F6174F" w:rsidRPr="00954152" w:rsidRDefault="00F6174F" w:rsidP="00CA1D2C">
            <w:pPr>
              <w:spacing w:line="276" w:lineRule="auto"/>
              <w:jc w:val="both"/>
              <w:rPr>
                <w:rFonts w:ascii="Verdana" w:hAnsi="Verdana"/>
                <w:b/>
                <w:color w:val="0F243E" w:themeColor="text2" w:themeShade="80"/>
              </w:rPr>
            </w:pPr>
            <w:bookmarkStart w:id="1" w:name="Unit18a"/>
            <w:r w:rsidRPr="00954152">
              <w:rPr>
                <w:rFonts w:ascii="Verdana" w:hAnsi="Verdana"/>
                <w:b/>
                <w:color w:val="0F243E" w:themeColor="text2" w:themeShade="80"/>
              </w:rPr>
              <w:lastRenderedPageBreak/>
              <w:t xml:space="preserve">18a. Fractions </w:t>
            </w:r>
          </w:p>
          <w:bookmarkEnd w:id="1"/>
          <w:p w:rsidR="00F6174F" w:rsidRPr="00954152" w:rsidRDefault="00F6174F" w:rsidP="00CA1D2C">
            <w:pPr>
              <w:spacing w:line="276" w:lineRule="auto"/>
              <w:jc w:val="both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color w:val="0F243E" w:themeColor="text2" w:themeShade="80"/>
              </w:rPr>
              <w:t>(N2, N3</w:t>
            </w:r>
            <w:r>
              <w:rPr>
                <w:rFonts w:ascii="Verdana" w:hAnsi="Verdana"/>
                <w:color w:val="0F243E" w:themeColor="text2" w:themeShade="80"/>
              </w:rPr>
              <w:t>, N8</w:t>
            </w:r>
            <w:r w:rsidRPr="00954152">
              <w:rPr>
                <w:rFonts w:ascii="Verdana" w:hAnsi="Verdana"/>
                <w:color w:val="0F243E" w:themeColor="text2" w:themeShade="80"/>
              </w:rPr>
              <w:t>)</w:t>
            </w:r>
          </w:p>
        </w:tc>
        <w:tc>
          <w:tcPr>
            <w:tcW w:w="1133" w:type="pct"/>
            <w:shd w:val="clear" w:color="auto" w:fill="8DB3E2" w:themeFill="text2" w:themeFillTint="66"/>
          </w:tcPr>
          <w:p w:rsidR="00F6174F" w:rsidRPr="00954152" w:rsidRDefault="00F6174F" w:rsidP="00CA1D2C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</w:rPr>
              <w:t>Teaching time</w:t>
            </w:r>
          </w:p>
          <w:p w:rsidR="00F6174F" w:rsidRPr="00954152" w:rsidRDefault="00F6174F" w:rsidP="00CA1D2C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color w:val="0F243E" w:themeColor="text2" w:themeShade="80"/>
              </w:rPr>
              <w:t>4–6 hours</w:t>
            </w:r>
          </w:p>
        </w:tc>
      </w:tr>
    </w:tbl>
    <w:p w:rsidR="00F6174F" w:rsidRPr="00954152" w:rsidRDefault="00F6174F" w:rsidP="00F6174F">
      <w:pPr>
        <w:spacing w:before="24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F6174F" w:rsidRPr="00954152" w:rsidRDefault="00F6174F" w:rsidP="00F6174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F6174F" w:rsidRPr="00954152" w:rsidRDefault="00F6174F" w:rsidP="00F6174F">
      <w:pPr>
        <w:pStyle w:val="ListParagraph"/>
        <w:numPr>
          <w:ilvl w:val="0"/>
          <w:numId w:val="9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Add and subtract mixed number fractions; </w:t>
      </w:r>
    </w:p>
    <w:p w:rsidR="00F6174F" w:rsidRPr="00954152" w:rsidRDefault="00F6174F" w:rsidP="00F6174F">
      <w:pPr>
        <w:pStyle w:val="ListParagraph"/>
        <w:numPr>
          <w:ilvl w:val="0"/>
          <w:numId w:val="9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Multiply mixed number fractions; </w:t>
      </w:r>
    </w:p>
    <w:p w:rsidR="00F6174F" w:rsidRPr="00954152" w:rsidRDefault="00F6174F" w:rsidP="00F6174F">
      <w:pPr>
        <w:pStyle w:val="ListParagraph"/>
        <w:numPr>
          <w:ilvl w:val="0"/>
          <w:numId w:val="9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Divide mixed numbers by whole numbers and vice versa;</w:t>
      </w:r>
    </w:p>
    <w:p w:rsidR="00F6174F" w:rsidRPr="00954152" w:rsidRDefault="00F6174F" w:rsidP="00F6174F">
      <w:pPr>
        <w:pStyle w:val="ListParagraph"/>
        <w:numPr>
          <w:ilvl w:val="0"/>
          <w:numId w:val="9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the reciprocal of an integer, decimal or fraction;</w:t>
      </w:r>
    </w:p>
    <w:p w:rsidR="00F6174F" w:rsidRPr="00954152" w:rsidRDefault="00F6174F" w:rsidP="00F6174F">
      <w:pPr>
        <w:pStyle w:val="ListParagraph"/>
        <w:numPr>
          <w:ilvl w:val="0"/>
          <w:numId w:val="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‘reciprocal’ as multiplicative inverse, knowing that any non-zero number multiplied by its reciprocal is 1 (and that zero has no reciprocal because division by zero is not defined).</w:t>
      </w:r>
    </w:p>
    <w:p w:rsidR="00F6174F" w:rsidRPr="00954152" w:rsidRDefault="00F6174F" w:rsidP="00F6174F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F6174F" w:rsidRPr="00954152" w:rsidRDefault="00F6174F" w:rsidP="00F6174F">
      <w:p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F6174F" w:rsidRPr="00954152" w:rsidRDefault="00F6174F" w:rsidP="00F6174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What is the reciprocal of 4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proofErr w:type="gramEnd"/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.65pt;height:26.85pt" o:ole="">
            <v:imagedata r:id="rId6" o:title=""/>
          </v:shape>
          <o:OLEObject Type="Embed" ProgID="Equation.DSMT4" ShapeID="_x0000_i1031" DrawAspect="Content" ObjectID="_1529475869" r:id="rId7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–2,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360" w:dyaOrig="540">
          <v:shape id="_x0000_i1032" type="#_x0000_t75" style="width:18.25pt;height:26.85pt" o:ole="">
            <v:imagedata r:id="rId8" o:title=""/>
          </v:shape>
          <o:OLEObject Type="Embed" ProgID="Equation.DSMT4" ShapeID="_x0000_i1032" DrawAspect="Content" ObjectID="_1529475870" r:id="rId9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?</w:t>
      </w:r>
    </w:p>
    <w:p w:rsidR="00F6174F" w:rsidRPr="00954152" w:rsidRDefault="00F6174F" w:rsidP="00F6174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F6174F" w:rsidRPr="00FC7F1A" w:rsidRDefault="00F6174F" w:rsidP="00F6174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</w:p>
    <w:p w:rsidR="00F6174F" w:rsidRPr="00FC7F1A" w:rsidRDefault="00F6174F" w:rsidP="00F6174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Students should be able to justify when fractions are equal and provide correct answers as a counter</w:t>
      </w:r>
      <w:r>
        <w:rPr>
          <w:rFonts w:ascii="Verdana" w:hAnsi="Verdana"/>
          <w:color w:val="0F243E" w:themeColor="text2" w:themeShade="80"/>
          <w:sz w:val="20"/>
          <w:szCs w:val="20"/>
        </w:rPr>
        <w:t>-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argument. </w:t>
      </w:r>
    </w:p>
    <w:p w:rsidR="00F6174F" w:rsidRPr="00FC7F1A" w:rsidRDefault="00F6174F" w:rsidP="00F6174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Links with other areas of </w:t>
      </w:r>
      <w:r>
        <w:rPr>
          <w:rFonts w:ascii="Verdana" w:hAnsi="Verdana"/>
          <w:color w:val="0F243E" w:themeColor="text2" w:themeShade="80"/>
          <w:sz w:val="20"/>
          <w:szCs w:val="20"/>
        </w:rPr>
        <w:t>m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>athematics should be used where appropriate to embed the notion that fractions are not just used in isolation</w:t>
      </w:r>
      <w:r>
        <w:rPr>
          <w:rFonts w:ascii="Verdana" w:hAnsi="Verdana"/>
          <w:color w:val="0F243E" w:themeColor="text2" w:themeShade="80"/>
          <w:sz w:val="20"/>
          <w:szCs w:val="20"/>
        </w:rPr>
        <w:t>,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r>
        <w:rPr>
          <w:rFonts w:ascii="Verdana" w:hAnsi="Verdana"/>
          <w:color w:val="0F243E" w:themeColor="text2" w:themeShade="80"/>
          <w:sz w:val="20"/>
          <w:szCs w:val="20"/>
        </w:rPr>
        <w:t>e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>.</w:t>
      </w:r>
      <w:r>
        <w:rPr>
          <w:rFonts w:ascii="Verdana" w:hAnsi="Verdana"/>
          <w:color w:val="0F243E" w:themeColor="text2" w:themeShade="80"/>
          <w:sz w:val="20"/>
          <w:szCs w:val="20"/>
        </w:rPr>
        <w:t>g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>. use 6 ½ cm instead of 6.5 cm</w:t>
      </w:r>
      <w:r>
        <w:rPr>
          <w:rFonts w:ascii="Verdana" w:hAnsi="Verdana"/>
          <w:color w:val="0F243E" w:themeColor="text2" w:themeShade="80"/>
          <w:sz w:val="20"/>
          <w:szCs w:val="20"/>
        </w:rPr>
        <w:t>.</w:t>
      </w:r>
    </w:p>
    <w:p w:rsidR="00F6174F" w:rsidRDefault="00F6174F" w:rsidP="00F6174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F6174F" w:rsidRPr="00954152" w:rsidRDefault="00F6174F" w:rsidP="00F6174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F6174F" w:rsidRPr="00954152" w:rsidRDefault="00F6174F" w:rsidP="00F6174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The larger the denominator the larger the fraction.</w:t>
      </w:r>
      <w:proofErr w:type="gramEnd"/>
    </w:p>
    <w:p w:rsidR="00F6174F" w:rsidRPr="00954152" w:rsidRDefault="00F6174F" w:rsidP="00F6174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F6174F" w:rsidRPr="00954152" w:rsidRDefault="00F6174F" w:rsidP="00F6174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F6174F" w:rsidRPr="00954152" w:rsidRDefault="00F6174F" w:rsidP="00F6174F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Regular revision of fractions is essential.</w:t>
      </w:r>
    </w:p>
    <w:p w:rsidR="00F6174F" w:rsidRPr="00954152" w:rsidRDefault="00F6174F" w:rsidP="00F6174F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Demonstrate how to the use the fraction button on the calculator.</w:t>
      </w:r>
    </w:p>
    <w:p w:rsidR="00F6174F" w:rsidRPr="00954152" w:rsidRDefault="00F6174F" w:rsidP="00F6174F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real-life examples where possible.</w:t>
      </w:r>
    </w:p>
    <w:p w:rsidR="00F6174F" w:rsidRPr="00954152" w:rsidRDefault="00F6174F" w:rsidP="00F6174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B84C9F" w:rsidRPr="00F6174F" w:rsidRDefault="00B84C9F" w:rsidP="00F6174F">
      <w:bookmarkStart w:id="2" w:name="_GoBack"/>
      <w:bookmarkEnd w:id="2"/>
    </w:p>
    <w:sectPr w:rsidR="00B84C9F" w:rsidRPr="00F6174F" w:rsidSect="007E4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B37"/>
    <w:multiLevelType w:val="hybridMultilevel"/>
    <w:tmpl w:val="1A582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19DA7C20"/>
    <w:multiLevelType w:val="hybridMultilevel"/>
    <w:tmpl w:val="5CA6C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383CD8"/>
    <w:multiLevelType w:val="hybridMultilevel"/>
    <w:tmpl w:val="C4BE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36547AEE"/>
    <w:multiLevelType w:val="hybridMultilevel"/>
    <w:tmpl w:val="7F0ED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93D01"/>
    <w:multiLevelType w:val="hybridMultilevel"/>
    <w:tmpl w:val="16401E1C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578665AF"/>
    <w:multiLevelType w:val="hybridMultilevel"/>
    <w:tmpl w:val="6C6CD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45FC1"/>
    <w:multiLevelType w:val="hybridMultilevel"/>
    <w:tmpl w:val="7F3A6068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6EBE3A5A"/>
    <w:multiLevelType w:val="hybridMultilevel"/>
    <w:tmpl w:val="A39070B2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>
    <w:nsid w:val="7B0B3677"/>
    <w:multiLevelType w:val="hybridMultilevel"/>
    <w:tmpl w:val="551C7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EA"/>
    <w:rsid w:val="000D05EA"/>
    <w:rsid w:val="00512A59"/>
    <w:rsid w:val="005D7F74"/>
    <w:rsid w:val="007863CB"/>
    <w:rsid w:val="007E4A75"/>
    <w:rsid w:val="0094710F"/>
    <w:rsid w:val="00AA7A9F"/>
    <w:rsid w:val="00B147AF"/>
    <w:rsid w:val="00B44B99"/>
    <w:rsid w:val="00B84C9F"/>
    <w:rsid w:val="00BC63EA"/>
    <w:rsid w:val="00E5333D"/>
    <w:rsid w:val="00F6174F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AF275A1F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2016-07-08T08:37:00Z</dcterms:created>
  <dcterms:modified xsi:type="dcterms:W3CDTF">2016-07-08T08:37:00Z</dcterms:modified>
</cp:coreProperties>
</file>