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BB" w:rsidRPr="00954152" w:rsidRDefault="008D54BB" w:rsidP="008D54BB">
      <w:pPr>
        <w:rPr>
          <w:rFonts w:ascii="Verdana" w:hAnsi="Verdana"/>
          <w:color w:val="0F243E" w:themeColor="text2" w:themeShade="80"/>
          <w:sz w:val="20"/>
          <w:szCs w:val="20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646"/>
        <w:gridCol w:w="3036"/>
      </w:tblGrid>
      <w:tr w:rsidR="008D54BB" w:rsidRPr="00954152" w:rsidTr="005765EB">
        <w:trPr>
          <w:trHeight w:val="880"/>
        </w:trPr>
        <w:tc>
          <w:tcPr>
            <w:tcW w:w="3579" w:type="pct"/>
            <w:shd w:val="clear" w:color="auto" w:fill="0F243E" w:themeFill="text2" w:themeFillShade="80"/>
            <w:vAlign w:val="center"/>
          </w:tcPr>
          <w:p w:rsidR="008D54BB" w:rsidRPr="00954152" w:rsidRDefault="008D54BB" w:rsidP="005765EB">
            <w:pPr>
              <w:spacing w:line="276" w:lineRule="auto"/>
              <w:rPr>
                <w:rFonts w:ascii="Verdana" w:hAnsi="Verdana"/>
                <w:szCs w:val="24"/>
              </w:rPr>
            </w:pPr>
            <w:bookmarkStart w:id="1" w:name="HUnit10"/>
            <w:r w:rsidRPr="00954152">
              <w:rPr>
                <w:rFonts w:ascii="Verdana" w:hAnsi="Verdana"/>
                <w:b/>
                <w:szCs w:val="24"/>
              </w:rPr>
              <w:t>UNIT 10: Probability</w:t>
            </w:r>
            <w:bookmarkEnd w:id="1"/>
          </w:p>
        </w:tc>
        <w:tc>
          <w:tcPr>
            <w:tcW w:w="1421" w:type="pct"/>
            <w:shd w:val="clear" w:color="auto" w:fill="0F243E" w:themeFill="text2" w:themeFillShade="80"/>
            <w:vAlign w:val="center"/>
          </w:tcPr>
          <w:p w:rsidR="008D54BB" w:rsidRPr="00954152" w:rsidRDefault="008D54BB" w:rsidP="005765EB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54152">
              <w:rPr>
                <w:rFonts w:ascii="Verdana" w:hAnsi="Verdana"/>
                <w:b/>
                <w:szCs w:val="24"/>
              </w:rPr>
              <w:t>Teaching Time</w:t>
            </w:r>
          </w:p>
          <w:p w:rsidR="008D54BB" w:rsidRPr="00954152" w:rsidRDefault="008D54BB" w:rsidP="005765EB">
            <w:pPr>
              <w:jc w:val="right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7-9</w:t>
            </w:r>
            <w:r w:rsidRPr="00954152">
              <w:rPr>
                <w:rFonts w:ascii="Verdana" w:hAnsi="Verdana"/>
                <w:szCs w:val="24"/>
              </w:rPr>
              <w:t xml:space="preserve"> hours</w:t>
            </w:r>
          </w:p>
        </w:tc>
      </w:tr>
    </w:tbl>
    <w:p w:rsidR="008D54BB" w:rsidRDefault="008D54BB" w:rsidP="008D54BB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8D54BB" w:rsidRPr="00954152" w:rsidRDefault="008D54BB" w:rsidP="008D54BB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SPECIFICATION REFERENCES</w:t>
      </w:r>
    </w:p>
    <w:p w:rsidR="008D54BB" w:rsidRPr="00954152" w:rsidRDefault="008D54BB" w:rsidP="008D54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apply systematic listing strategies,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including use of the product rule for counting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…</w:t>
      </w:r>
    </w:p>
    <w:p w:rsidR="008D54BB" w:rsidRPr="00954152" w:rsidRDefault="008D54BB" w:rsidP="008D54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record, describe and analyse the frequency of outcomes of probability experiments using tables and frequency trees</w:t>
      </w:r>
    </w:p>
    <w:p w:rsidR="008D54BB" w:rsidRPr="00954152" w:rsidRDefault="008D54BB" w:rsidP="008D54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apply ideas of randomness, fairness and equally likely events to calculate expected outcomes of multiple future experiments</w:t>
      </w:r>
    </w:p>
    <w:p w:rsidR="008D54BB" w:rsidRPr="00954152" w:rsidRDefault="008D54BB" w:rsidP="008D54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relate relative expected frequencies to theoretical probability, using appropriate language and the 0–1 probability scale</w:t>
      </w:r>
    </w:p>
    <w:p w:rsidR="008D54BB" w:rsidRPr="00954152" w:rsidRDefault="008D54BB" w:rsidP="008D54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apply the property that the probabilities of an exhaustive set of outcomes sum to one; apply the property that the probabilities of an exhaustive set of mutually exclusive events sum to one</w:t>
      </w:r>
    </w:p>
    <w:p w:rsidR="008D54BB" w:rsidRPr="00954152" w:rsidRDefault="008D54BB" w:rsidP="008D54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P5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understand that empirical unbiased samples tend towards theoretical probability distributions, with increasing sample size</w:t>
      </w:r>
    </w:p>
    <w:p w:rsidR="008D54BB" w:rsidRPr="00954152" w:rsidRDefault="008D54BB" w:rsidP="008D54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P6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enumerate sets and combinations of sets systematically, using tables, grids, Venn diagrams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tree diagrams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8D54BB" w:rsidRPr="00954152" w:rsidRDefault="008D54BB" w:rsidP="008D54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P7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construct theoretical possibility spaces for single and combined experiments with equally likely outcomes and use these to calculate theoretical probabilities</w:t>
      </w:r>
    </w:p>
    <w:p w:rsidR="008D54BB" w:rsidRPr="00954152" w:rsidRDefault="008D54BB" w:rsidP="008D54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P8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calculate the probability of independent and dependent combined events, including using tree diagrams and other representations, and know the underlying assumptions</w:t>
      </w:r>
    </w:p>
    <w:p w:rsidR="008D54BB" w:rsidRPr="00954152" w:rsidRDefault="008D54BB" w:rsidP="008D54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P9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calculate and interpret conditional probabilities through representation using expected frequencies with two-way tables, tree diagrams and Venn diagrams</w:t>
      </w:r>
    </w:p>
    <w:p w:rsidR="008D54BB" w:rsidRPr="00954152" w:rsidRDefault="008D54BB" w:rsidP="008D54BB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8D54BB" w:rsidRPr="00954152" w:rsidRDefault="008D54BB" w:rsidP="008D54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understand that a probability is a number between 0 and 1, and distinguish between events which are impossible, unlikely, even chance, likely, and certain to occur. </w:t>
      </w:r>
    </w:p>
    <w:p w:rsidR="008D54BB" w:rsidRPr="00954152" w:rsidRDefault="008D54BB" w:rsidP="008D54BB">
      <w:pPr>
        <w:spacing w:after="0"/>
        <w:jc w:val="both"/>
        <w:rPr>
          <w:color w:val="0F243E" w:themeColor="text2" w:themeShade="8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mark events and/or probabilities on a probability scale of 0 to 1. </w:t>
      </w:r>
    </w:p>
    <w:p w:rsidR="008D54BB" w:rsidRPr="00954152" w:rsidRDefault="008D54BB" w:rsidP="008D54BB">
      <w:pPr>
        <w:pStyle w:val="U-text"/>
        <w:spacing w:before="0" w:after="0" w:line="276" w:lineRule="auto"/>
        <w:jc w:val="both"/>
        <w:rPr>
          <w:color w:val="0F243E" w:themeColor="text2" w:themeShade="80"/>
        </w:rPr>
      </w:pPr>
      <w:r w:rsidRPr="00954152">
        <w:rPr>
          <w:color w:val="0F243E" w:themeColor="text2" w:themeShade="80"/>
          <w:szCs w:val="20"/>
        </w:rPr>
        <w:t xml:space="preserve">Students should </w:t>
      </w:r>
      <w:r w:rsidRPr="00954152">
        <w:rPr>
          <w:color w:val="0F243E" w:themeColor="text2" w:themeShade="80"/>
        </w:rPr>
        <w:t>know how to add and multiply fractions and decimals.</w:t>
      </w:r>
    </w:p>
    <w:p w:rsidR="008D54BB" w:rsidRPr="00954152" w:rsidRDefault="008D54BB" w:rsidP="008D54BB">
      <w:pPr>
        <w:pStyle w:val="U-text"/>
        <w:spacing w:before="0" w:after="0" w:line="276" w:lineRule="auto"/>
        <w:jc w:val="both"/>
        <w:rPr>
          <w:color w:val="0F243E" w:themeColor="text2" w:themeShade="80"/>
        </w:rPr>
      </w:pPr>
      <w:r w:rsidRPr="00954152">
        <w:rPr>
          <w:color w:val="0F243E" w:themeColor="text2" w:themeShade="80"/>
        </w:rPr>
        <w:t>Students should have experience of expressing one number as a fraction of another number.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D54BB" w:rsidRPr="00954152" w:rsidRDefault="008D54BB" w:rsidP="008D54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Probability, mutually exclusive, conditional, tree diagrams, sample space, outcomes, theoretical, relative frequency, Venn diagram, fairness, experimental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D54BB" w:rsidRPr="00954152" w:rsidRDefault="008D54BB" w:rsidP="008D54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unit, students should be able to: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Write probabilities using fractions, percentages or decimals;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and use experimental and theoretical measures of probability, including relative frequency to include outcomes using dice, spinners, coins, etc;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Estimate the number of times an event will occur, given the probability and the number of trials;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probability of successive events, such as several throws of a single dice; 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List all outcomes for single events, and combined events, systematically; 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Draw sample space diagrams and use them for adding simple probabilities;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Know that the sum of the probabilities of all outcomes is 1; 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1 –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p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as the probability of an event not occurring where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p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is the probability of the event occurring; 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Work out probabilities from Venn diagrams to represent real-life situations and also ‘abstract’ sets of numbers/values;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 xml:space="preserve">Use union and intersection notation; 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a missing probability from a list or two-way table, including algebraic terms;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Cs/>
          <w:color w:val="0F243E" w:themeColor="text2" w:themeShade="80"/>
          <w:sz w:val="20"/>
          <w:szCs w:val="20"/>
        </w:rPr>
        <w:t xml:space="preserve">Understand conditional probabilities and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decide if two events are independent; 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Draw a probability tree diagram based on given information, and use this to find probability and expected number of outcome; 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Understand selection with or without replacement; </w:t>
      </w:r>
    </w:p>
    <w:p w:rsidR="008D54BB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Calculate the probability of independent and dependent combined events; 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Use a two-way table to calculate conditional probability; 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tree diagram to calculate conditional probability; 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a Venn diagram to calculate conditional probability;</w:t>
      </w:r>
    </w:p>
    <w:p w:rsidR="008D54BB" w:rsidRPr="00954152" w:rsidRDefault="008D54BB" w:rsidP="008D54BB">
      <w:pPr>
        <w:pStyle w:val="U-text-bullet"/>
        <w:numPr>
          <w:ilvl w:val="0"/>
          <w:numId w:val="18"/>
        </w:numPr>
        <w:spacing w:before="0" w:after="0" w:line="276" w:lineRule="auto"/>
        <w:jc w:val="both"/>
        <w:rPr>
          <w:color w:val="0F243E" w:themeColor="text2" w:themeShade="80"/>
          <w:szCs w:val="20"/>
        </w:rPr>
      </w:pPr>
      <w:r w:rsidRPr="00954152">
        <w:rPr>
          <w:color w:val="0F243E" w:themeColor="text2" w:themeShade="80"/>
          <w:szCs w:val="20"/>
        </w:rPr>
        <w:t>Compare experimental data and theoretical probabilities;</w:t>
      </w:r>
    </w:p>
    <w:p w:rsidR="008D54BB" w:rsidRPr="00954152" w:rsidRDefault="008D54BB" w:rsidP="008D54BB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Compare relative frequencies from samples of different sizes.</w:t>
      </w:r>
    </w:p>
    <w:p w:rsidR="008D54BB" w:rsidRPr="00954152" w:rsidRDefault="008D54BB" w:rsidP="008D54BB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D54BB" w:rsidRPr="00954152" w:rsidRDefault="008D54BB" w:rsidP="008D54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If the probability of outcomes are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, 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, 4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, 3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calculate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Draw a Venn diagram of students studying French, German or both, and then calculate the probability that a student studies French given that they also study German.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D54BB" w:rsidRDefault="008D54BB" w:rsidP="008D54BB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8D54BB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D22039">
        <w:rPr>
          <w:rFonts w:ascii="Verdana" w:hAnsi="Verdana"/>
          <w:color w:val="0F243E" w:themeColor="text2" w:themeShade="80"/>
          <w:sz w:val="20"/>
          <w:szCs w:val="20"/>
        </w:rPr>
        <w:t>Students should be given the opportunity to justify the probability of events happening or not happening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in real-life and abstract contexts.</w:t>
      </w:r>
    </w:p>
    <w:p w:rsidR="008D54BB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D54BB" w:rsidRPr="00954152" w:rsidRDefault="008D54BB" w:rsidP="008D54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Probability without replacement is best illustrated visually and by initially working out probability ‘with’ replacement.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Not using fractions or decimals when working with probability trees.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8D54BB" w:rsidRPr="00954152" w:rsidRDefault="008D54BB" w:rsidP="008D54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Encourage students to work ‘across’ the branches, working out the probability of each successive event. The probability of the combinations of outcomes should = 1.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problems involving ratio and percentage, similar to: </w:t>
      </w:r>
    </w:p>
    <w:p w:rsidR="008D54BB" w:rsidRPr="00954152" w:rsidRDefault="008D54BB" w:rsidP="008D54BB">
      <w:pPr>
        <w:pStyle w:val="ListParagraph"/>
        <w:numPr>
          <w:ilvl w:val="0"/>
          <w:numId w:val="15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 bag contains balls in the ratio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2 :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3 : 4. A ball is taken at random. Work out the probability that the ball will be … ;</w:t>
      </w:r>
    </w:p>
    <w:p w:rsidR="008D54BB" w:rsidRPr="00954152" w:rsidRDefault="008D54BB" w:rsidP="008D54BB">
      <w:pPr>
        <w:pStyle w:val="ListParagraph"/>
        <w:numPr>
          <w:ilvl w:val="0"/>
          <w:numId w:val="15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 a group of students 55% are boys, 65% prefer to watch film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10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% are girls who prefer to watch film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. One student picked at random. Find the probability that this is a boy who prefers to watch film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(P6).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Emphasise that, were an experiment repeated, it will usually lead to different outcomes, and that increasing sample size generally leads to better estimates of probability and population characteristics.</w:t>
      </w: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D54BB" w:rsidRPr="00954152" w:rsidRDefault="008D54BB" w:rsidP="008D54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01F94" w:rsidRPr="008D54BB" w:rsidRDefault="00E01F94" w:rsidP="008D54BB"/>
    <w:sectPr w:rsidR="00E01F94" w:rsidRPr="008D54BB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0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13"/>
  </w:num>
  <w:num w:numId="12">
    <w:abstractNumId w:val="16"/>
  </w:num>
  <w:num w:numId="13">
    <w:abstractNumId w:val="17"/>
  </w:num>
  <w:num w:numId="14">
    <w:abstractNumId w:val="0"/>
  </w:num>
  <w:num w:numId="15">
    <w:abstractNumId w:val="15"/>
  </w:num>
  <w:num w:numId="16">
    <w:abstractNumId w:val="12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B4C78"/>
    <w:rsid w:val="001F3E3C"/>
    <w:rsid w:val="002F4C66"/>
    <w:rsid w:val="0039261A"/>
    <w:rsid w:val="00427BC5"/>
    <w:rsid w:val="00437958"/>
    <w:rsid w:val="004E0AD6"/>
    <w:rsid w:val="005F7E54"/>
    <w:rsid w:val="00606A67"/>
    <w:rsid w:val="006C2B02"/>
    <w:rsid w:val="006C6AFE"/>
    <w:rsid w:val="00774718"/>
    <w:rsid w:val="00816816"/>
    <w:rsid w:val="008307AE"/>
    <w:rsid w:val="008D54BB"/>
    <w:rsid w:val="008D6382"/>
    <w:rsid w:val="008F2E99"/>
    <w:rsid w:val="00971159"/>
    <w:rsid w:val="00AE72EF"/>
    <w:rsid w:val="00B922CD"/>
    <w:rsid w:val="00BE0650"/>
    <w:rsid w:val="00BE6E24"/>
    <w:rsid w:val="00C25DDA"/>
    <w:rsid w:val="00D64985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2016-07-08T09:40:00Z</dcterms:created>
  <dcterms:modified xsi:type="dcterms:W3CDTF">2016-07-08T09:40:00Z</dcterms:modified>
</cp:coreProperties>
</file>