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D35643" w:rsidRPr="00954152" w:rsidTr="007D2A12">
        <w:trPr>
          <w:trHeight w:val="880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D35643" w:rsidRPr="00954152" w:rsidRDefault="00D35643" w:rsidP="007D2A12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0" w:name="Unit6"/>
            <w:r w:rsidRPr="00954152">
              <w:rPr>
                <w:rFonts w:ascii="Verdana" w:hAnsi="Verdana"/>
                <w:b/>
                <w:color w:val="FFFFFF" w:themeColor="background1"/>
              </w:rPr>
              <w:t xml:space="preserve">UNIT 6: </w:t>
            </w:r>
            <w:bookmarkEnd w:id="0"/>
            <w:r w:rsidRPr="00954152">
              <w:rPr>
                <w:rFonts w:ascii="Verdana" w:hAnsi="Verdana"/>
                <w:b/>
                <w:color w:val="FFFFFF" w:themeColor="background1"/>
              </w:rPr>
              <w:t>Angles, polygons and parallel lines</w:t>
            </w:r>
          </w:p>
        </w:tc>
      </w:tr>
    </w:tbl>
    <w:p w:rsidR="00D35643" w:rsidRPr="00954152" w:rsidRDefault="00D35643" w:rsidP="00D35643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D35643" w:rsidRPr="00954152" w:rsidRDefault="00D35643" w:rsidP="00D3564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D35643" w:rsidRDefault="00D35643" w:rsidP="00D3564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A8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work with coordinates in all four quadrants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use conventional terms and notation: points, lines, vertices, edges, planes, parallel lines, perpendicular lines, right angles, polygons, regular polygons and polygons with reflection and/or rotation symmetries; use the standard conventions for labelling and referring to the sides and angles of triangles; draw diagrams from written description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G3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apply the properties of angles at a point, angles at a point on a straight line, vertically opposite angles; understand and use alternate and corresponding angles on parallel lines; derive and use the sum of angles in a triangle (e.g. to deduce and use the angle sum in any polygon, and to derive properties of regular polygons)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G4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derive and apply the properties and definitions of special types of quadrilaterals, including square, rectangle, parallelogram, trapezium, kite and rhombus; and triangles and other plane figures using appropriate language</w:t>
      </w:r>
    </w:p>
    <w:p w:rsidR="00D35643" w:rsidRDefault="00D35643" w:rsidP="00D3564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G7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identify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 and </w:t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describe congruent and similar shapes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G6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u w:val="single"/>
          <w:lang w:eastAsia="en-GB"/>
        </w:rPr>
        <w:t>apply angle facts, triangle congruence, similarity and properties of quadrilaterals to conjecture and derive results about angles and sides, including … the fact that the base angles of an isosceles triangle are equal, and use known results to obtain simple proofs</w:t>
      </w:r>
    </w:p>
    <w:p w:rsidR="00D35643" w:rsidRPr="00954152" w:rsidRDefault="00D35643" w:rsidP="00D35643">
      <w:pP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G11 </w:t>
      </w:r>
      <w:r w:rsidRPr="00954152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  <w:t>solve geometrical problems on coordinate axes</w:t>
      </w:r>
    </w:p>
    <w:p w:rsidR="00D35643" w:rsidRPr="00954152" w:rsidRDefault="00D35643" w:rsidP="00D35643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G15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ab/>
      </w:r>
      <w:r w:rsidRPr="004019B4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 xml:space="preserve">measure line segments </w:t>
      </w:r>
      <w:r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  <w:t>and angles in geometric figures</w:t>
      </w:r>
    </w:p>
    <w:p w:rsidR="00D35643" w:rsidRPr="00954152" w:rsidRDefault="00D35643" w:rsidP="00D35643">
      <w:pPr>
        <w:spacing w:after="0"/>
        <w:jc w:val="both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en-GB"/>
        </w:rPr>
      </w:pPr>
    </w:p>
    <w:p w:rsidR="00D35643" w:rsidRPr="00954152" w:rsidRDefault="00D35643" w:rsidP="00D3564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should be able to use a ruler and protractor. 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an understanding of angles as a measure of turning.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be able to name angles and distinguish between acute, obtuse, reflex and right angles.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recognise reflection symmetry, be able to identify and draw lines of symmetry, and complete diagrams with given number of lines of symmetry.</w:t>
      </w:r>
    </w:p>
    <w:p w:rsidR="00D35643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recognise rotation symmetry and be able to identify orders of rotational symmetry, and complete diagrams with given order of rotational symmetry.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D35643" w:rsidRPr="00954152" w:rsidRDefault="00D35643" w:rsidP="00D35643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D35643" w:rsidRPr="00954152" w:rsidRDefault="00D35643" w:rsidP="00D35643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Quadrilateral, angle, polygon, interior, exterior, proof, tessellation, rotational symmetry, parallel, corresponding, alternate, co-interior, vertices, edge, face, sides, triangle, perpendicular, isosceles, scalene, clockwise, anticlockwise, hexagons, heptagons, octagons, decagons, obtuse, acute, reflex, quadrilateral, triangle, regular, irregular, two-dimensional, three-dimensional, measure, line, angle, order, intersecting</w:t>
      </w:r>
    </w:p>
    <w:p w:rsidR="003E1298" w:rsidRPr="003E1298" w:rsidRDefault="003E1298" w:rsidP="003E1298">
      <w:pPr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br w:type="page"/>
      </w:r>
      <w:bookmarkStart w:id="1" w:name="_GoBack"/>
      <w:bookmarkEnd w:id="1"/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7800"/>
        <w:gridCol w:w="2882"/>
      </w:tblGrid>
      <w:tr w:rsidR="003E1298" w:rsidRPr="00954152" w:rsidTr="007D2A12">
        <w:tc>
          <w:tcPr>
            <w:tcW w:w="3651" w:type="pct"/>
            <w:shd w:val="clear" w:color="auto" w:fill="8DB3E2" w:themeFill="text2" w:themeFillTint="66"/>
            <w:vAlign w:val="center"/>
          </w:tcPr>
          <w:p w:rsidR="003E1298" w:rsidRPr="00954152" w:rsidRDefault="003E1298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" w:name="Unit6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 xml:space="preserve">6b. Interior and exterior angles of polygons </w:t>
            </w:r>
          </w:p>
          <w:bookmarkEnd w:id="2"/>
          <w:p w:rsidR="003E1298" w:rsidRPr="00954152" w:rsidRDefault="003E1298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(G1, G3,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>G7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)</w:t>
            </w:r>
          </w:p>
        </w:tc>
        <w:tc>
          <w:tcPr>
            <w:tcW w:w="1349" w:type="pct"/>
            <w:shd w:val="clear" w:color="auto" w:fill="8DB3E2" w:themeFill="text2" w:themeFillTint="66"/>
          </w:tcPr>
          <w:p w:rsidR="003E1298" w:rsidRPr="00954152" w:rsidRDefault="003E1298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3E1298" w:rsidRPr="00954152" w:rsidRDefault="003E1298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3-5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3E1298" w:rsidRPr="00954152" w:rsidRDefault="003E1298" w:rsidP="003E1298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3E1298" w:rsidRPr="00954152" w:rsidRDefault="003E1298" w:rsidP="003E129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3E1298" w:rsidRDefault="003E1298" w:rsidP="003E1298">
      <w:pPr>
        <w:pStyle w:val="ListParagraph"/>
        <w:numPr>
          <w:ilvl w:val="0"/>
          <w:numId w:val="19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Recognise and name pentagons, hexagons, heptagons, octagons and decagons; </w:t>
      </w:r>
    </w:p>
    <w:p w:rsidR="003E1298" w:rsidRPr="00954152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Understand ‘regular’ and ‘irregular’ as applied to polygons; </w:t>
      </w:r>
    </w:p>
    <w:p w:rsidR="003E1298" w:rsidRPr="00954152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sum of angles of irregular polygons; </w:t>
      </w:r>
    </w:p>
    <w:p w:rsidR="003E1298" w:rsidRPr="00954152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and use the sums of the interior angles of polygons; </w:t>
      </w:r>
    </w:p>
    <w:p w:rsidR="003E1298" w:rsidRPr="00954152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Calculate and use the angles of regular polygons; </w:t>
      </w:r>
    </w:p>
    <w:p w:rsidR="003E1298" w:rsidRPr="00954152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sum of the interior angles of an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-sided polygon; </w:t>
      </w:r>
    </w:p>
    <w:p w:rsidR="003E1298" w:rsidRPr="00954152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sum of the exterior angles of any polygon is 360°; </w:t>
      </w:r>
    </w:p>
    <w:p w:rsidR="003E1298" w:rsidRPr="00954152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Use the sum of the interior angle and the exterior angle is 180°;</w:t>
      </w:r>
    </w:p>
    <w:p w:rsidR="003E1298" w:rsidRPr="00954152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shapes which are congruent (by eye); </w:t>
      </w:r>
    </w:p>
    <w:p w:rsidR="003E1298" w:rsidRDefault="003E1298" w:rsidP="003E1298">
      <w:pPr>
        <w:pStyle w:val="ListParagraph"/>
        <w:numPr>
          <w:ilvl w:val="0"/>
          <w:numId w:val="19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Explain why some polygons fit together and others do not; </w:t>
      </w:r>
    </w:p>
    <w:p w:rsidR="003E1298" w:rsidRPr="00954152" w:rsidRDefault="003E1298" w:rsidP="003E1298">
      <w:pPr>
        <w:pStyle w:val="ListParagraph"/>
        <w:spacing w:after="0"/>
        <w:ind w:left="0"/>
        <w:jc w:val="both"/>
        <w:rPr>
          <w:rFonts w:ascii="Verdana" w:hAnsi="Verdana"/>
          <w:color w:val="0F243E"/>
          <w:sz w:val="20"/>
          <w:szCs w:val="20"/>
        </w:rPr>
      </w:pPr>
    </w:p>
    <w:p w:rsidR="003E1298" w:rsidRPr="00954152" w:rsidRDefault="003E1298" w:rsidP="003E129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POSSIBLE SUCCESS CRITERIA</w:t>
      </w:r>
    </w:p>
    <w:p w:rsidR="003E1298" w:rsidRPr="00954152" w:rsidRDefault="003E1298" w:rsidP="003E1298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Deduce and use the angle sum in any polygon.</w:t>
      </w:r>
    </w:p>
    <w:p w:rsidR="003E1298" w:rsidRPr="00954152" w:rsidRDefault="003E1298" w:rsidP="003E1298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Derive the angle properties of regular polygons.</w:t>
      </w:r>
    </w:p>
    <w:p w:rsidR="003E1298" w:rsidRPr="00954152" w:rsidRDefault="003E1298" w:rsidP="003E1298">
      <w:pPr>
        <w:spacing w:after="0"/>
        <w:jc w:val="both"/>
        <w:rPr>
          <w:rFonts w:ascii="Verdana" w:hAnsi="Verdana"/>
          <w:i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 xml:space="preserve">Given the size of its exterior angle, how many sides does the polygon have? </w:t>
      </w:r>
    </w:p>
    <w:p w:rsidR="003E1298" w:rsidRPr="00954152" w:rsidRDefault="003E1298" w:rsidP="003E1298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3E1298" w:rsidRPr="00D85BA8" w:rsidRDefault="003E1298" w:rsidP="003E129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D85BA8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3E1298" w:rsidRDefault="003E1298" w:rsidP="003E129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D85BA8">
        <w:rPr>
          <w:rFonts w:ascii="Verdana" w:hAnsi="Verdana"/>
          <w:color w:val="0F243E" w:themeColor="text2" w:themeShade="80"/>
          <w:sz w:val="20"/>
          <w:szCs w:val="20"/>
        </w:rPr>
        <w:t>Problems whereby students have to justify the number of sides that a regular polygon has given an interior or exterior angle.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3E1298" w:rsidRPr="00D85BA8" w:rsidRDefault="003E1298" w:rsidP="003E129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3E1298" w:rsidRPr="00954152" w:rsidRDefault="003E1298" w:rsidP="003E129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3E1298" w:rsidRPr="00954152" w:rsidRDefault="003E1298" w:rsidP="003E1298">
      <w:pPr>
        <w:suppressAutoHyphens/>
        <w:spacing w:after="0"/>
        <w:jc w:val="both"/>
        <w:rPr>
          <w:rFonts w:ascii="Verdana" w:hAnsi="Verdana" w:cs="Lucida Sans Unicode"/>
          <w:color w:val="0F243E"/>
          <w:sz w:val="20"/>
          <w:szCs w:val="20"/>
        </w:rPr>
      </w:pPr>
      <w:r w:rsidRPr="00954152">
        <w:rPr>
          <w:rFonts w:ascii="Verdana" w:hAnsi="Verdana" w:cs="Lucida Sans Unicode"/>
          <w:color w:val="0F243E"/>
          <w:sz w:val="20"/>
          <w:szCs w:val="20"/>
        </w:rPr>
        <w:t>Pupils may believe, incorrectly, that all polygons are regular.</w:t>
      </w:r>
    </w:p>
    <w:p w:rsidR="003E1298" w:rsidRPr="00954152" w:rsidRDefault="003E1298" w:rsidP="003E1298">
      <w:pPr>
        <w:spacing w:after="0"/>
        <w:jc w:val="both"/>
        <w:rPr>
          <w:rFonts w:ascii="Verdana" w:hAnsi="Verdana"/>
          <w:b/>
          <w:color w:val="0F243E"/>
          <w:sz w:val="20"/>
          <w:szCs w:val="20"/>
        </w:rPr>
      </w:pPr>
    </w:p>
    <w:p w:rsidR="003E1298" w:rsidRPr="00954152" w:rsidRDefault="003E1298" w:rsidP="003E1298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3E1298" w:rsidRPr="00954152" w:rsidRDefault="003E1298" w:rsidP="003E1298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  <w:r w:rsidRPr="00954152">
        <w:rPr>
          <w:rFonts w:ascii="Verdana" w:hAnsi="Verdana"/>
          <w:color w:val="0F243E"/>
          <w:sz w:val="20"/>
          <w:szCs w:val="20"/>
        </w:rPr>
        <w:t>Study Escher drawings.</w:t>
      </w:r>
    </w:p>
    <w:p w:rsidR="003E1298" w:rsidRPr="00954152" w:rsidRDefault="003E1298" w:rsidP="003E1298">
      <w:pPr>
        <w:spacing w:after="0"/>
        <w:jc w:val="both"/>
        <w:rPr>
          <w:rFonts w:cs="Times New Roman"/>
          <w:color w:val="0F243E"/>
          <w:szCs w:val="24"/>
        </w:rPr>
      </w:pPr>
      <w:r w:rsidRPr="00954152">
        <w:rPr>
          <w:rFonts w:ascii="Verdana" w:hAnsi="Verdana"/>
          <w:color w:val="0F243E"/>
          <w:sz w:val="20"/>
          <w:szCs w:val="20"/>
        </w:rPr>
        <w:t>Use examples of tiling patterns with simple shapes to help students investigate if shapes ‘fit together’.</w:t>
      </w:r>
    </w:p>
    <w:p w:rsidR="003E1298" w:rsidRPr="00954152" w:rsidRDefault="003E1298" w:rsidP="003E1298">
      <w:pPr>
        <w:spacing w:after="0"/>
        <w:jc w:val="both"/>
        <w:rPr>
          <w:rFonts w:ascii="Verdana" w:hAnsi="Verdana"/>
          <w:color w:val="0F243E"/>
          <w:sz w:val="20"/>
          <w:szCs w:val="20"/>
        </w:rPr>
      </w:pPr>
    </w:p>
    <w:p w:rsidR="00D35643" w:rsidRPr="003E1298" w:rsidRDefault="00D35643" w:rsidP="003E1298">
      <w:pPr>
        <w:jc w:val="both"/>
        <w:rPr>
          <w:b/>
          <w:color w:val="0F243E" w:themeColor="text2" w:themeShade="80"/>
        </w:rPr>
      </w:pPr>
    </w:p>
    <w:sectPr w:rsidR="00D35643" w:rsidRPr="003E1298" w:rsidSect="00CE60A1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3E1298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3E1298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3E1298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481D02" w:rsidRPr="00BA2A5D" w:rsidRDefault="003E1298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3E1298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3E1298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r w:rsidRPr="009D798A">
      <w:t xml:space="preserve">2014  ©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3E1298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DF"/>
    <w:multiLevelType w:val="hybridMultilevel"/>
    <w:tmpl w:val="D68C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430"/>
    <w:multiLevelType w:val="hybridMultilevel"/>
    <w:tmpl w:val="51E0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16430"/>
    <w:multiLevelType w:val="hybridMultilevel"/>
    <w:tmpl w:val="A3CC6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3850ACB"/>
    <w:multiLevelType w:val="hybridMultilevel"/>
    <w:tmpl w:val="371CA25E"/>
    <w:lvl w:ilvl="0" w:tplc="080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5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33205"/>
    <w:multiLevelType w:val="hybridMultilevel"/>
    <w:tmpl w:val="76D0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4F93"/>
    <w:multiLevelType w:val="hybridMultilevel"/>
    <w:tmpl w:val="0E5E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C49A5"/>
    <w:multiLevelType w:val="hybridMultilevel"/>
    <w:tmpl w:val="1F3EE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C64FB0"/>
    <w:multiLevelType w:val="hybridMultilevel"/>
    <w:tmpl w:val="9C84E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967044"/>
    <w:multiLevelType w:val="hybridMultilevel"/>
    <w:tmpl w:val="539C0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657784"/>
    <w:multiLevelType w:val="hybridMultilevel"/>
    <w:tmpl w:val="C61EF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544A02"/>
    <w:multiLevelType w:val="hybridMultilevel"/>
    <w:tmpl w:val="FB06A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7F4830"/>
    <w:multiLevelType w:val="hybridMultilevel"/>
    <w:tmpl w:val="E956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6248CD"/>
    <w:multiLevelType w:val="hybridMultilevel"/>
    <w:tmpl w:val="88DC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A2E1A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3"/>
  </w:num>
  <w:num w:numId="12">
    <w:abstractNumId w:val="12"/>
  </w:num>
  <w:num w:numId="13">
    <w:abstractNumId w:val="8"/>
  </w:num>
  <w:num w:numId="14">
    <w:abstractNumId w:val="17"/>
  </w:num>
  <w:num w:numId="15">
    <w:abstractNumId w:val="10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030327"/>
    <w:rsid w:val="0013301E"/>
    <w:rsid w:val="00201CAE"/>
    <w:rsid w:val="0026276C"/>
    <w:rsid w:val="003E1298"/>
    <w:rsid w:val="004028EB"/>
    <w:rsid w:val="006822B8"/>
    <w:rsid w:val="007C64E1"/>
    <w:rsid w:val="0089440B"/>
    <w:rsid w:val="009D76AE"/>
    <w:rsid w:val="009F2E0F"/>
    <w:rsid w:val="00C625DB"/>
    <w:rsid w:val="00CD3C2E"/>
    <w:rsid w:val="00CE60A1"/>
    <w:rsid w:val="00D35643"/>
    <w:rsid w:val="00D90180"/>
    <w:rsid w:val="00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2016-07-08T07:49:00Z</dcterms:created>
  <dcterms:modified xsi:type="dcterms:W3CDTF">2016-07-08T07:49:00Z</dcterms:modified>
</cp:coreProperties>
</file>