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54" w:rsidRPr="00954152" w:rsidRDefault="005F7E54" w:rsidP="005F7E54">
      <w:pPr>
        <w:spacing w:after="0"/>
        <w:rPr>
          <w:rFonts w:ascii="Verdana" w:hAnsi="Verdana"/>
          <w:b/>
          <w:color w:val="0F243E" w:themeColor="text2" w:themeShade="80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5F7E54" w:rsidRPr="00954152" w:rsidTr="005765EB">
        <w:trPr>
          <w:trHeight w:val="73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5F7E54" w:rsidRPr="00954152" w:rsidRDefault="005F7E54" w:rsidP="005765EB">
            <w:pPr>
              <w:spacing w:line="276" w:lineRule="auto"/>
              <w:rPr>
                <w:rFonts w:ascii="Verdana" w:hAnsi="Verdana"/>
                <w:b/>
                <w:color w:val="FFFFFF" w:themeColor="background1"/>
                <w:sz w:val="24"/>
              </w:rPr>
            </w:pPr>
            <w:r w:rsidRPr="00954152">
              <w:rPr>
                <w:sz w:val="24"/>
              </w:rPr>
              <w:br w:type="page"/>
            </w:r>
            <w:bookmarkStart w:id="0" w:name="HUnit2"/>
            <w:r w:rsidRPr="00954152">
              <w:rPr>
                <w:rFonts w:ascii="Verdana" w:hAnsi="Verdana"/>
                <w:b/>
                <w:color w:val="FFFFFF" w:themeColor="background1"/>
              </w:rPr>
              <w:t>UNIT 2: Expressions, substituting into simple formulae, expanding and factorising, equations, sequences and inequalities, simple proof</w:t>
            </w:r>
            <w:bookmarkEnd w:id="0"/>
          </w:p>
        </w:tc>
      </w:tr>
    </w:tbl>
    <w:p w:rsidR="005F7E54" w:rsidRPr="00F80815" w:rsidRDefault="005F7E54" w:rsidP="005F7E54">
      <w:pPr>
        <w:spacing w:after="0"/>
        <w:jc w:val="right"/>
        <w:rPr>
          <w:rStyle w:val="Hyperlink"/>
          <w:rFonts w:ascii="Verdana" w:hAnsi="Verdana"/>
          <w:color w:val="BFBFBF" w:themeColor="background1" w:themeShade="BF"/>
          <w:sz w:val="20"/>
          <w:szCs w:val="20"/>
        </w:rPr>
      </w:pPr>
      <w:r w:rsidRPr="00A22C92">
        <w:rPr>
          <w:rFonts w:ascii="Verdana" w:hAnsi="Verdana"/>
          <w:color w:val="BFBFBF" w:themeColor="background1" w:themeShade="BF"/>
          <w:sz w:val="20"/>
          <w:szCs w:val="20"/>
        </w:rPr>
        <w:fldChar w:fldCharType="begin"/>
      </w:r>
      <w:r w:rsidRPr="00A22C92">
        <w:rPr>
          <w:rFonts w:ascii="Verdana" w:hAnsi="Verdana"/>
          <w:color w:val="BFBFBF" w:themeColor="background1" w:themeShade="BF"/>
          <w:sz w:val="20"/>
          <w:szCs w:val="20"/>
        </w:rPr>
        <w:instrText xml:space="preserve"> HYPERLINK  \l "HOverview" </w:instrText>
      </w:r>
      <w:r w:rsidRPr="00A22C92">
        <w:rPr>
          <w:rFonts w:ascii="Verdana" w:hAnsi="Verdana"/>
          <w:color w:val="BFBFBF" w:themeColor="background1" w:themeShade="BF"/>
          <w:sz w:val="20"/>
          <w:szCs w:val="20"/>
        </w:rPr>
        <w:fldChar w:fldCharType="separate"/>
      </w:r>
      <w:r w:rsidRPr="00A22C92">
        <w:rPr>
          <w:rStyle w:val="Hyperlink"/>
          <w:rFonts w:ascii="Verdana" w:hAnsi="Verdana"/>
          <w:color w:val="BFBFBF" w:themeColor="background1" w:themeShade="BF"/>
          <w:sz w:val="20"/>
          <w:szCs w:val="20"/>
        </w:rPr>
        <w:t>Return to Overview</w:t>
      </w:r>
    </w:p>
    <w:p w:rsidR="005F7E54" w:rsidRPr="00954152" w:rsidRDefault="005F7E54" w:rsidP="005F7E5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22C92">
        <w:rPr>
          <w:rFonts w:ascii="Verdana" w:hAnsi="Verdana"/>
          <w:color w:val="BFBFBF" w:themeColor="background1" w:themeShade="BF"/>
          <w:sz w:val="20"/>
          <w:szCs w:val="20"/>
        </w:rPr>
        <w:fldChar w:fldCharType="end"/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N1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… use the symbols =, ≠, &lt;, &gt;, ≤, ≥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recognise and use relationships between operations, including inverse operations (e.g. cancellation to simplify calculations and expressions); use conventional notation for priority of operations, including brackets, powers, roots and reciprocals</w:t>
      </w:r>
    </w:p>
    <w:p w:rsidR="005F7E54" w:rsidRPr="00954152" w:rsidRDefault="005F7E54" w:rsidP="005F7E54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N8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calculate exactly with fra</w:t>
      </w:r>
      <w:bookmarkStart w:id="1" w:name="_GoBack"/>
      <w:bookmarkEnd w:id="1"/>
      <w:r w:rsidRPr="00954152">
        <w:rPr>
          <w:rFonts w:ascii="Verdana" w:hAnsi="Verdana"/>
          <w:color w:val="0F243E" w:themeColor="text2" w:themeShade="80"/>
          <w:sz w:val="20"/>
          <w:szCs w:val="20"/>
        </w:rPr>
        <w:t>ctions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5466B5">
        <w:rPr>
          <w:rFonts w:ascii="Verdana" w:hAnsi="Verdana"/>
          <w:b/>
          <w:color w:val="0F243E" w:themeColor="text2" w:themeShade="80"/>
          <w:sz w:val="20"/>
          <w:szCs w:val="20"/>
        </w:rPr>
        <w:t>surds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…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  <w:r w:rsidRPr="005466B5">
        <w:rPr>
          <w:rFonts w:ascii="Verdana" w:hAnsi="Verdana"/>
          <w:b/>
          <w:color w:val="0F243E" w:themeColor="text2" w:themeShade="80"/>
          <w:sz w:val="20"/>
          <w:szCs w:val="20"/>
        </w:rPr>
        <w:t>simplify surd expressions involving squares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…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N9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calculate with and interpret standard form </w:t>
      </w:r>
      <w:proofErr w:type="gram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10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vertAlign w:val="superscript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where 1 ≤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&lt; 10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is an integer.</w:t>
      </w:r>
    </w:p>
    <w:p w:rsidR="005F7E54" w:rsidRPr="00954152" w:rsidRDefault="005F7E54" w:rsidP="005F7E54">
      <w:pPr>
        <w:spacing w:after="0"/>
        <w:ind w:left="567" w:hanging="56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A1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use and interpret algebraic notation, including: 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3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position w:val="-24"/>
          <w:sz w:val="20"/>
          <w:szCs w:val="20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1.15pt" o:ole="">
            <v:imagedata r:id="rId6" o:title=""/>
          </v:shape>
          <o:OLEObject Type="Embed" ProgID="Equation.DSMT4" ShapeID="_x0000_i1025" DrawAspect="Content" ObjectID="_1529477497" r:id="rId7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÷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coefficients written as fractions rather than as decimals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brackets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A2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substitute numerical values into formulae and expressions, including scientific formulae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understand and use the concepts and vocabulary of expressions, equations, formulae, 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identities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, inequalities, terms and factors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A4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simplify and manipulate algebraic expressions … by: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collecting like terms 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multiplying a single term over a bracket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taking out common factors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expanding products of two</w:t>
      </w:r>
      <w:r w:rsidRPr="00954152">
        <w:rPr>
          <w:rFonts w:ascii="Verdana" w:hAnsi="Verdana"/>
          <w:bCs/>
          <w:color w:val="0F243E" w:themeColor="text2" w:themeShade="80"/>
          <w:sz w:val="20"/>
          <w:szCs w:val="20"/>
          <w:u w:val="single"/>
        </w:rPr>
        <w:t xml:space="preserve"> … 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binomials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factorising quadratic expressions of the form </w:t>
      </w:r>
      <w:r w:rsidRPr="00954152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  <w:u w:val="single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+ </w:t>
      </w:r>
      <w:proofErr w:type="spellStart"/>
      <w:r w:rsidRPr="00954152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  <w:u w:val="single"/>
        </w:rPr>
        <w:t>bx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+ </w:t>
      </w:r>
      <w:r w:rsidRPr="00954152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  <w:u w:val="single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, including the difference of two squares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… 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simplifying expressions involving sums, products and powers, including the laws of indices 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A5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understand and use standard mathematical formulae; rearrange formulae to change the subject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A6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know the difference between an equation and an identity; argue mathematically to show algebraic expressions are equivalent, and use algebra to support and construct arguments 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and proofs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A7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where appropriate, interpret simple expressions as functions with inputs and outputs; …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A17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solve linear equations in one unknown algebraically …;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A20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find approximate solutions to equations numerically using iteration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A21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translate simple situations or procedures into algebraic expressions or formulae; derive an equation …, solve the equation and interpret the solution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A23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generate terms of a sequence from either a term-to-term or a position-to-term rule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A24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recognise and use sequences of triangular, square and cube numbers, simple arithmetic progressions, 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Fibonacci type sequences and simple geometric progressions (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r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  <w:vertAlign w:val="superscript"/>
        </w:rPr>
        <w:t>n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where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is an integer,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r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is a rational number &gt; 0), recognise and use other sequences 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or a surd)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A25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deduce expressions to calculate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0"/>
          <w:szCs w:val="20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th term of linear sequences.</w:t>
      </w: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have prior knowledge of some of these topics, as they are encountered at Key Stage 3:</w:t>
      </w:r>
    </w:p>
    <w:p w:rsidR="005F7E54" w:rsidRPr="00954152" w:rsidRDefault="005F7E54" w:rsidP="005F7E54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the ability to use negative numbers with the four operations and recall and use hierarchy of operations and understand inverse operations;</w:t>
      </w:r>
    </w:p>
    <w:p w:rsidR="005F7E54" w:rsidRPr="00954152" w:rsidRDefault="005F7E54" w:rsidP="005F7E54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dealing with decimals and negatives on a calculator;</w:t>
      </w:r>
    </w:p>
    <w:p w:rsidR="005F7E54" w:rsidRPr="00954152" w:rsidRDefault="005F7E54" w:rsidP="005F7E54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>using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index laws numerically.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5F7E54" w:rsidRPr="00954152" w:rsidRDefault="005F7E54" w:rsidP="005F7E5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Expression, identity, equation, formula, substitute, term, ‘like’ terms, index, power, negative and fractional indices, collect, substitute, expand, bracket, factor, factorise, quadratic, linear, simplify, approximate, arithmetic, geometric, function, sequence, </w:t>
      </w:r>
      <w:r w:rsidRPr="00954152">
        <w:rPr>
          <w:rFonts w:ascii="Times New Roman" w:hAnsi="Times New Roman" w:cs="Times New Roman"/>
          <w:i/>
          <w:color w:val="0F243E" w:themeColor="text2" w:themeShade="80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th term, derive</w:t>
      </w: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F176CF" w:rsidRDefault="00F176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415"/>
        <w:gridCol w:w="2267"/>
      </w:tblGrid>
      <w:tr w:rsidR="005F7E54" w:rsidRPr="00954152" w:rsidTr="005765EB">
        <w:tc>
          <w:tcPr>
            <w:tcW w:w="3939" w:type="pct"/>
            <w:shd w:val="clear" w:color="auto" w:fill="8DB3E2" w:themeFill="text2" w:themeFillTint="66"/>
            <w:vAlign w:val="center"/>
          </w:tcPr>
          <w:p w:rsidR="005F7E54" w:rsidRPr="00954152" w:rsidRDefault="005F7E54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HUnit2a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2a. Algebra: the basics</w:t>
            </w:r>
            <w:r>
              <w:rPr>
                <w:rFonts w:ascii="Verdana" w:hAnsi="Verdana"/>
                <w:b/>
                <w:color w:val="0F243E" w:themeColor="text2" w:themeShade="80"/>
                <w:szCs w:val="24"/>
              </w:rPr>
              <w:t>, setting up, rearranging and solving equations</w:t>
            </w:r>
          </w:p>
          <w:p w:rsidR="005F7E54" w:rsidRPr="00954152" w:rsidRDefault="005F7E54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(N1, 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N3,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N8, A1, A2, 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A3, A4,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A5, A6, 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A7,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A17, A20, A21)</w:t>
            </w:r>
            <w:bookmarkEnd w:id="2"/>
          </w:p>
        </w:tc>
        <w:tc>
          <w:tcPr>
            <w:tcW w:w="1061" w:type="pct"/>
            <w:shd w:val="clear" w:color="auto" w:fill="8DB3E2" w:themeFill="text2" w:themeFillTint="66"/>
          </w:tcPr>
          <w:p w:rsidR="005F7E54" w:rsidRPr="00954152" w:rsidRDefault="005F7E54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5F7E54" w:rsidRPr="00954152" w:rsidRDefault="005F7E54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9-11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5F7E54" w:rsidRPr="00954152" w:rsidRDefault="005F7E54" w:rsidP="005F7E54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5F7E54" w:rsidRPr="00954152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By the end of the sub-unit, students should be able to: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algebraic notation and symbols correctly;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Know the difference between a term, expression, equation, formula and an identity;</w:t>
      </w:r>
    </w:p>
    <w:p w:rsidR="005F7E54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8F383A">
        <w:rPr>
          <w:rFonts w:ascii="Verdana" w:hAnsi="Verdana"/>
          <w:color w:val="0F243E" w:themeColor="text2" w:themeShade="80"/>
          <w:sz w:val="20"/>
          <w:szCs w:val="20"/>
        </w:rPr>
        <w:t xml:space="preserve">Write and manipulate an expression by collecting like terms;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Substitute positive and negative numbers into expressions such as 3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+ 4 and 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then into expressions involving brackets and powers;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Substitute numbers into formulae from mathematics and other subject using simple linear formulae, e.g.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l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w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v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u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at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Simplify expressions by cancelling, e.g.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360" w:dyaOrig="540">
          <v:shape id="_x0000_i1026" type="#_x0000_t75" style="width:18.25pt;height:26.85pt" o:ole="">
            <v:imagedata r:id="rId8" o:title=""/>
          </v:shape>
          <o:OLEObject Type="Embed" ProgID="Equation.DSMT4" ShapeID="_x0000_i1026" DrawAspect="Content" ObjectID="_1529477498" r:id="rId9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5F7E54" w:rsidRPr="008F383A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8F383A">
        <w:rPr>
          <w:rFonts w:ascii="Verdana" w:hAnsi="Verdana"/>
          <w:color w:val="0F243E" w:themeColor="text2" w:themeShade="80"/>
          <w:sz w:val="20"/>
          <w:szCs w:val="20"/>
        </w:rPr>
        <w:t xml:space="preserve">Use instances of index laws for positive integer powers including when multiplying or dividing algebraic terms;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instances of index laws, including use of zero, fractional and negative powers; </w:t>
      </w:r>
    </w:p>
    <w:p w:rsidR="005F7E54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A22C92">
        <w:rPr>
          <w:rFonts w:ascii="Verdana" w:hAnsi="Verdana"/>
          <w:color w:val="0F243E" w:themeColor="text2" w:themeShade="80"/>
          <w:sz w:val="20"/>
          <w:szCs w:val="20"/>
        </w:rPr>
        <w:t xml:space="preserve">Multiply a single term over a bracket and </w:t>
      </w:r>
      <w:r>
        <w:rPr>
          <w:rFonts w:ascii="Verdana" w:hAnsi="Verdana"/>
          <w:color w:val="0F243E" w:themeColor="text2" w:themeShade="80"/>
          <w:sz w:val="20"/>
          <w:szCs w:val="20"/>
        </w:rPr>
        <w:t>r</w:t>
      </w:r>
      <w:r w:rsidRPr="00A22C92">
        <w:rPr>
          <w:rFonts w:ascii="Verdana" w:hAnsi="Verdana"/>
          <w:color w:val="0F243E" w:themeColor="text2" w:themeShade="80"/>
          <w:sz w:val="20"/>
          <w:szCs w:val="20"/>
        </w:rPr>
        <w:t xml:space="preserve">ecognise factors of algebraic terms involving single brackets and simplify expressions by factorising, including subsequently collecting like terms;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Expand the product of two linear expressions, i.e. double brackets working up to negatives in both brackets and also similar to (2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+ 3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)(3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Know that squaring a linear expression is the same as expanding double brackets; </w:t>
      </w:r>
    </w:p>
    <w:p w:rsidR="005F7E54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Factorise quadratic expressions of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Factorise quadratic expressions using the difference of two squares</w:t>
      </w:r>
      <w:r>
        <w:rPr>
          <w:rFonts w:ascii="Verdana" w:hAnsi="Verdana"/>
          <w:color w:val="0F243E" w:themeColor="text2" w:themeShade="80"/>
          <w:sz w:val="20"/>
          <w:szCs w:val="20"/>
        </w:rPr>
        <w:t>;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Set up simple equations from word problems and derive simple formulae;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the ≠ symbol (not equal), e.g. 6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+ 4 ≠ 3(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+ 2), and introduce identity ≡ sign;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linear equations, with integer coefficients, in which the unknown appears on either side or on both sides of the equation;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linear equations which contain brackets, including those that have negative signs occurring anywhere in the equation, and those with a negative solution;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linear equations in one unknown, with integer or fractional coefficients; </w:t>
      </w:r>
    </w:p>
    <w:p w:rsidR="005F7E54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Set up and solve linear equations to solve to solve a problem;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Derive a formula and set up simple equations from word problems, then solve these equations, interpreting the solution in the context of the problem; 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Substitute positive and negative numbers into a formula, solve the resulting equation including brackets, powers or standard form;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and substitute formulae from mathematics and other subjects, including the kinematics formulae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v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u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at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v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u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ut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40">
          <v:shape id="_x0000_i1027" type="#_x0000_t75" style="width:10.75pt;height:26.85pt" o:ole="">
            <v:imagedata r:id="rId10" o:title=""/>
          </v:shape>
          <o:OLEObject Type="Embed" ProgID="Equation.DSMT4" ShapeID="_x0000_i1027" DrawAspect="Content" ObjectID="_1529477499" r:id="rId11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at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Change the subject of a simple formula, i.e. linear one-step, such as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4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Change the subject of a formula, including cases where the subject is on both sides of the original formula, or involving fractions and small powers of the subject;</w:t>
      </w:r>
    </w:p>
    <w:p w:rsidR="005F7E54" w:rsidRPr="00954152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Simple proofs and use of ≡ in “show that” style questions; know the difference between an equation and an identity;</w:t>
      </w:r>
    </w:p>
    <w:p w:rsidR="005F7E54" w:rsidRDefault="005F7E54" w:rsidP="005F7E54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iteration to find approximate solutions to equations, for simple equations in the first instance, then quadratic and cubic equations. </w:t>
      </w:r>
    </w:p>
    <w:p w:rsidR="005F7E54" w:rsidRPr="00954152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</w:p>
    <w:p w:rsidR="005F7E54" w:rsidRPr="00954152" w:rsidRDefault="005F7E54" w:rsidP="005F7E5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5F7E54" w:rsidRPr="00954152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Simplify 4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p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q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+ 1 – 3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p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+ 5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q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5F7E54" w:rsidRPr="00954152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>Evaluate 4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when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–5.</w:t>
      </w:r>
    </w:p>
    <w:p w:rsidR="005F7E54" w:rsidRPr="00954152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Simplify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z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4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z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÷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, 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7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)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proofErr w:type="gramEnd"/>
      <w:r w:rsidRPr="00954152">
        <w:rPr>
          <w:rFonts w:ascii="Verdana" w:hAnsi="Verdana"/>
          <w:color w:val="0F243E" w:themeColor="text2" w:themeShade="80"/>
          <w:position w:val="-16"/>
          <w:sz w:val="20"/>
          <w:szCs w:val="20"/>
        </w:rPr>
        <w:object w:dxaOrig="900" w:dyaOrig="540">
          <v:shape id="_x0000_i1028" type="#_x0000_t75" style="width:45.15pt;height:26.85pt" o:ole="">
            <v:imagedata r:id="rId12" o:title=""/>
          </v:shape>
          <o:OLEObject Type="Embed" ProgID="Equation.DSMT4" ShapeID="_x0000_i1028" DrawAspect="Content" ObjectID="_1529477500" r:id="rId13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5F7E54" w:rsidRPr="00954152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Expand and simplify 3(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t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1) + 57.</w:t>
      </w:r>
    </w:p>
    <w:p w:rsidR="005F7E54" w:rsidRPr="00954152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Factorise 15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35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5F7E54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Expand and simplify (3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+ 2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)(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1).</w:t>
      </w:r>
    </w:p>
    <w:p w:rsidR="005F7E54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Factorise 6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7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+ 1.</w:t>
      </w:r>
    </w:p>
    <w:p w:rsidR="005F7E54" w:rsidRPr="00954152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 room is 2 m longer than it is wide. If its area is 30 m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what is its perimeter? </w:t>
      </w:r>
    </w:p>
    <w:p w:rsidR="005F7E54" w:rsidRPr="00954152" w:rsidRDefault="005F7E54" w:rsidP="005F7E54">
      <w:pPr>
        <w:suppressAutoHyphens/>
        <w:spacing w:after="0"/>
        <w:rPr>
          <w:rFonts w:ascii="Verdana" w:hAnsi="Verdana" w:cs="Lucida Sans Unicode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Use fractions when working in algebraic situations.</w:t>
      </w:r>
    </w:p>
    <w:p w:rsidR="005F7E54" w:rsidRPr="00954152" w:rsidRDefault="005F7E54" w:rsidP="005F7E54">
      <w:pPr>
        <w:suppressAutoHyphens/>
        <w:spacing w:after="0"/>
        <w:rPr>
          <w:rFonts w:ascii="Verdana" w:hAnsi="Verdana" w:cs="Lucida Sans Unicode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Substitute positive and negative numbers into formulae.</w:t>
      </w:r>
    </w:p>
    <w:p w:rsidR="005F7E54" w:rsidRPr="00954152" w:rsidRDefault="005F7E54" w:rsidP="005F7E54">
      <w:pPr>
        <w:suppressAutoHyphens/>
        <w:spacing w:after="0"/>
        <w:rPr>
          <w:rFonts w:ascii="Verdana" w:hAnsi="Verdana" w:cs="Lucida Sans Unicode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Be aware of common scientific formulae.</w:t>
      </w:r>
    </w:p>
    <w:p w:rsidR="005F7E54" w:rsidRPr="00954152" w:rsidRDefault="005F7E54" w:rsidP="005F7E54">
      <w:pPr>
        <w:suppressAutoHyphens/>
        <w:spacing w:after="0"/>
        <w:rPr>
          <w:rFonts w:ascii="Verdana" w:hAnsi="Verdana" w:cs="Lucida Sans Unicode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Know the meaning of the ‘subject’ of a formula.</w:t>
      </w:r>
    </w:p>
    <w:p w:rsidR="005F7E54" w:rsidRPr="00954152" w:rsidRDefault="005F7E54" w:rsidP="005F7E54">
      <w:pPr>
        <w:suppressAutoHyphens/>
        <w:spacing w:after="0"/>
        <w:rPr>
          <w:rFonts w:ascii="Verdana" w:hAnsi="Verdana" w:cs="Lucida Sans Unicode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Change the subject of a formula when one step is required.</w:t>
      </w:r>
    </w:p>
    <w:p w:rsidR="005F7E54" w:rsidRPr="00954152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Change the subject of a formula when two steps are required.</w:t>
      </w:r>
    </w:p>
    <w:p w:rsidR="005F7E54" w:rsidRPr="00954152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</w:p>
    <w:p w:rsidR="005F7E54" w:rsidRPr="00C65DB9" w:rsidRDefault="005F7E54" w:rsidP="005F7E54">
      <w:pPr>
        <w:jc w:val="both"/>
        <w:rPr>
          <w:rFonts w:ascii="Verdana" w:hAnsi="Verdana"/>
          <w:b/>
          <w:color w:val="0F243E"/>
          <w:sz w:val="20"/>
          <w:szCs w:val="20"/>
        </w:rPr>
      </w:pPr>
      <w:r w:rsidRPr="00C65DB9">
        <w:rPr>
          <w:rFonts w:ascii="Verdana" w:hAnsi="Verdana"/>
          <w:b/>
          <w:color w:val="0F243E"/>
          <w:sz w:val="20"/>
          <w:szCs w:val="20"/>
        </w:rPr>
        <w:t>OPPORTUNITIES FOR REASONING/PROBLEM SOLVING</w:t>
      </w:r>
    </w:p>
    <w:p w:rsidR="005F7E54" w:rsidRPr="00C65DB9" w:rsidRDefault="005F7E54" w:rsidP="005F7E54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C65DB9">
        <w:rPr>
          <w:rFonts w:ascii="Verdana" w:hAnsi="Verdana"/>
          <w:color w:val="0F243E"/>
          <w:sz w:val="20"/>
          <w:szCs w:val="20"/>
        </w:rPr>
        <w:t xml:space="preserve">Forming and solving equations involving algebra and other areas of mathematics such as area and perimeter. </w:t>
      </w:r>
    </w:p>
    <w:p w:rsidR="005F7E54" w:rsidRPr="00C65DB9" w:rsidRDefault="005F7E54" w:rsidP="005F7E54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C65DB9">
        <w:rPr>
          <w:rFonts w:ascii="Verdana" w:hAnsi="Verdana"/>
          <w:color w:val="0F243E"/>
          <w:sz w:val="20"/>
          <w:szCs w:val="20"/>
        </w:rPr>
        <w:t>Evaluate statements and justify which answer is correct by providing a counter-argument by way of a correct solution.</w:t>
      </w:r>
    </w:p>
    <w:p w:rsidR="005F7E54" w:rsidRPr="00C65DB9" w:rsidRDefault="005F7E54" w:rsidP="005F7E54">
      <w:pPr>
        <w:spacing w:after="0"/>
        <w:rPr>
          <w:rFonts w:ascii="Verdana" w:hAnsi="Verdana"/>
          <w:color w:val="0F243E"/>
          <w:sz w:val="20"/>
          <w:szCs w:val="20"/>
        </w:rPr>
      </w:pPr>
    </w:p>
    <w:p w:rsidR="005F7E54" w:rsidRDefault="005F7E54" w:rsidP="005F7E5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When expanding two linear expressions, poor number skills involving negatives and times tables will become evident.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5F7E54" w:rsidRDefault="005F7E54" w:rsidP="005F7E54">
      <w:pPr>
        <w:suppressAutoHyphens/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Hierarchy of operations applied in the wrong order when changing the subject of a formula.</w:t>
      </w:r>
    </w:p>
    <w:p w:rsidR="005F7E54" w:rsidRDefault="005F7E54" w:rsidP="005F7E54">
      <w:pPr>
        <w:suppressAutoHyphens/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 w:cs="Vrinda"/>
          <w:color w:val="0F243E" w:themeColor="text2" w:themeShade="80"/>
          <w:sz w:val="20"/>
          <w:szCs w:val="20"/>
          <w:vertAlign w:val="superscript"/>
        </w:rPr>
        <w:t>0</w:t>
      </w: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 = 0.</w:t>
      </w:r>
    </w:p>
    <w:p w:rsidR="005F7E54" w:rsidRDefault="005F7E54" w:rsidP="005F7E54">
      <w:pPr>
        <w:suppressAutoHyphens/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3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xy</w:t>
      </w: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 and 5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yx</w:t>
      </w: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 are different “types of term” and cannot be “collected” when simplifying expressions.</w:t>
      </w:r>
    </w:p>
    <w:p w:rsidR="005F7E54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The square and cube operations on a calculator may not be similar on all makes.</w:t>
      </w:r>
    </w:p>
    <w:p w:rsidR="005F7E54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Not using brackets with negative numbers on a calculator.</w:t>
      </w:r>
    </w:p>
    <w:p w:rsidR="005F7E54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Not writing down all the digits on the display.</w:t>
      </w:r>
    </w:p>
    <w:p w:rsidR="005F7E54" w:rsidRPr="00954152" w:rsidRDefault="005F7E54" w:rsidP="005F7E54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</w:p>
    <w:p w:rsidR="005F7E54" w:rsidRPr="00954152" w:rsidRDefault="005F7E54" w:rsidP="005F7E5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Some of this will be a reminder from Key Stage 3 and could be introduced through investigative material such as handshake, frogs etc. </w:t>
      </w:r>
    </w:p>
    <w:p w:rsidR="005F7E54" w:rsidRPr="008A55EF" w:rsidRDefault="005F7E54" w:rsidP="005F7E54">
      <w:pPr>
        <w:pBdr>
          <w:left w:val="single" w:sz="4" w:space="10" w:color="auto"/>
          <w:right w:val="single" w:sz="4" w:space="10" w:color="auto"/>
        </w:pBd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8A55EF">
        <w:rPr>
          <w:rFonts w:ascii="Verdana" w:hAnsi="Verdana"/>
          <w:color w:val="0F243E" w:themeColor="text2" w:themeShade="80"/>
          <w:sz w:val="20"/>
          <w:szCs w:val="20"/>
        </w:rPr>
        <w:t xml:space="preserve">Students will have encountered much of this before and you may wish to introduce solving equations using function machines. 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Practise factorisation where more than one variable is involved. NB More complex quadratics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are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covered in a later unit.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Plenty of practice should be given for factorising, and reinforce the message that making mistakes with negatives and times tables is a different skill to that being developed. Encourage students to expand linear sequences prior to simplifying when dealing with “double brackets”.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Emphasise good use of notation.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need to realise that not all linear equations can be solved by observation or trial and improvement, and hence the use of a formal method is important.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leave their answer in fraction form where appropriate. Emphasise that fractions are more accurate in calculations than rounded percentage or decimal equivalents.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examples involving formulae for circles, spheres, cones and kinematics when changing the subject of a formula.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For substitution use the distance–time–speed formula, and include speed of light given in standard form.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>Students should be encouraged to use their calculator effectively by using the replay and ANS/EXE functions; reinforce the use of brackets and only rounding their final answer with trial and improvement.</w:t>
      </w:r>
    </w:p>
    <w:p w:rsidR="006C6AFE" w:rsidRPr="005F7E54" w:rsidRDefault="006C6AFE" w:rsidP="005F7E54"/>
    <w:sectPr w:rsidR="006C6AFE" w:rsidRPr="005F7E54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5F7E54"/>
    <w:rsid w:val="006C2B02"/>
    <w:rsid w:val="006C6AFE"/>
    <w:rsid w:val="008307AE"/>
    <w:rsid w:val="00BE0650"/>
    <w:rsid w:val="00F1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1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3</cp:revision>
  <dcterms:created xsi:type="dcterms:W3CDTF">2016-07-08T09:04:00Z</dcterms:created>
  <dcterms:modified xsi:type="dcterms:W3CDTF">2016-07-08T09:05:00Z</dcterms:modified>
</cp:coreProperties>
</file>