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CE60A1" w:rsidRPr="00954152" w:rsidTr="007D2A12">
        <w:trPr>
          <w:trHeight w:val="728"/>
        </w:trPr>
        <w:tc>
          <w:tcPr>
            <w:tcW w:w="5000" w:type="pct"/>
            <w:shd w:val="clear" w:color="auto" w:fill="0F243E" w:themeFill="text2" w:themeFillShade="80"/>
            <w:vAlign w:val="center"/>
          </w:tcPr>
          <w:p w:rsidR="00CE60A1" w:rsidRPr="00954152" w:rsidRDefault="00CE60A1" w:rsidP="007D2A12">
            <w:pPr>
              <w:spacing w:line="276" w:lineRule="auto"/>
              <w:rPr>
                <w:rFonts w:ascii="Verdana" w:hAnsi="Verdana"/>
                <w:b/>
                <w:color w:val="FFFFFF" w:themeColor="background1"/>
                <w:sz w:val="24"/>
                <w:szCs w:val="24"/>
              </w:rPr>
            </w:pPr>
            <w:bookmarkStart w:id="0" w:name="Unit1"/>
            <w:r w:rsidRPr="00954152">
              <w:rPr>
                <w:rFonts w:ascii="Verdana" w:hAnsi="Verdana"/>
                <w:b/>
                <w:color w:val="FFFFFF" w:themeColor="background1"/>
                <w:szCs w:val="24"/>
              </w:rPr>
              <w:t>UNIT 1: Number, powers, decimals, HCF and LCM, roots and rounding</w:t>
            </w:r>
            <w:bookmarkEnd w:id="0"/>
          </w:p>
        </w:tc>
      </w:tr>
    </w:tbl>
    <w:p w:rsidR="00CE60A1" w:rsidRPr="00954152" w:rsidRDefault="00CE60A1" w:rsidP="00CE60A1">
      <w:pPr>
        <w:spacing w:after="0"/>
        <w:jc w:val="right"/>
        <w:rPr>
          <w:rFonts w:ascii="Verdana" w:hAnsi="Verdana"/>
          <w:color w:val="A6A6A6" w:themeColor="background1" w:themeShade="A6"/>
          <w:sz w:val="20"/>
          <w:szCs w:val="20"/>
        </w:rPr>
      </w:pPr>
      <w:hyperlink w:anchor="Overview" w:history="1">
        <w:r w:rsidRPr="00954152">
          <w:rPr>
            <w:rStyle w:val="Hyperlink"/>
            <w:rFonts w:ascii="Verdana" w:hAnsi="Verdana"/>
            <w:color w:val="A6A6A6" w:themeColor="background1" w:themeShade="A6"/>
            <w:sz w:val="20"/>
            <w:szCs w:val="20"/>
          </w:rPr>
          <w:t>Return to Overview</w:t>
        </w:r>
      </w:hyperlink>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SPECIFICATION REFERENCES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 </w:t>
      </w:r>
      <w:r w:rsidRPr="00954152">
        <w:rPr>
          <w:rFonts w:ascii="Verdana" w:eastAsia="Times New Roman" w:hAnsi="Verdana" w:cs="Times New Roman"/>
          <w:color w:val="0F243E" w:themeColor="text2" w:themeShade="80"/>
          <w:sz w:val="20"/>
          <w:szCs w:val="20"/>
          <w:lang w:eastAsia="en-GB"/>
        </w:rPr>
        <w:tab/>
        <w:t>order positive and negative integers, decimals and fractions; use the symbols =, ≠, &lt;, &gt;, ≤</w:t>
      </w:r>
      <w:proofErr w:type="gramStart"/>
      <w:r w:rsidRPr="00954152">
        <w:rPr>
          <w:rFonts w:ascii="Verdana" w:eastAsia="Times New Roman" w:hAnsi="Verdana" w:cs="Times New Roman"/>
          <w:color w:val="0F243E" w:themeColor="text2" w:themeShade="80"/>
          <w:sz w:val="20"/>
          <w:szCs w:val="20"/>
          <w:lang w:eastAsia="en-GB"/>
        </w:rPr>
        <w:t>,≥</w:t>
      </w:r>
      <w:proofErr w:type="gramEnd"/>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and simple fractions (proper and improper), and mixed numbers – all both positive and negative; understand and use place value (e.g. when working with very large or very small numbers, and when calculating with decimals)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p>
    <w:p w:rsidR="00CE60A1" w:rsidRPr="00954152" w:rsidRDefault="00CE60A1" w:rsidP="00CE60A1">
      <w:pPr>
        <w:spacing w:after="0"/>
        <w:ind w:left="567" w:hanging="567"/>
        <w:jc w:val="both"/>
        <w:rPr>
          <w:rFonts w:ascii="Verdana" w:eastAsia="Times New Roman" w:hAnsi="Verdana" w:cs="Times New Roman"/>
          <w:b/>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use positive integer powers and associated real roots (square, cube and higher), recognise powers of 2, 3, 4, 5</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 and with integer indices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N13 </w:t>
      </w:r>
      <w:r w:rsidRPr="00954152">
        <w:rPr>
          <w:rFonts w:ascii="Verdana" w:eastAsia="Times New Roman" w:hAnsi="Verdana" w:cs="Times New Roman"/>
          <w:color w:val="0F243E" w:themeColor="text2" w:themeShade="80"/>
          <w:sz w:val="20"/>
          <w:szCs w:val="20"/>
          <w:lang w:eastAsia="en-GB"/>
        </w:rPr>
        <w:tab/>
        <w:t>use standard units of mass, length, time, money and other measures (including standard compound measures) using decimal quantities where appropriate</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an appreciation of place value, and recognise even and odd numbers.</w:t>
      </w:r>
    </w:p>
    <w:p w:rsidR="00CE60A1" w:rsidRPr="00954152" w:rsidRDefault="00CE60A1" w:rsidP="00CE60A1">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Students will have knowledge of using the four operations with whole numbers.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integer complements to 10 and to 100. </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strategies for multiplying and dividing whole numbers by 2, 4, 5, and 10. </w:t>
      </w:r>
    </w:p>
    <w:p w:rsidR="00CE60A1" w:rsidRDefault="00CE60A1" w:rsidP="00CE60A1">
      <w:pPr>
        <w:spacing w:after="0"/>
        <w:jc w:val="both"/>
        <w:rPr>
          <w:rFonts w:ascii="Verdana" w:hAnsi="Verdana"/>
          <w:color w:val="0F243E"/>
          <w:sz w:val="20"/>
          <w:szCs w:val="20"/>
        </w:rPr>
      </w:pPr>
      <w:r w:rsidRPr="00954152">
        <w:rPr>
          <w:rFonts w:ascii="Verdana" w:hAnsi="Verdana"/>
          <w:color w:val="0F243E"/>
          <w:sz w:val="20"/>
          <w:szCs w:val="20"/>
        </w:rPr>
        <w:t>Students should be able to read and write decimals in figures and words.</w:t>
      </w:r>
    </w:p>
    <w:p w:rsidR="00CE60A1" w:rsidRPr="00954152" w:rsidRDefault="00CE60A1" w:rsidP="00CE60A1">
      <w:pPr>
        <w:spacing w:after="0"/>
        <w:jc w:val="both"/>
        <w:rPr>
          <w:rFonts w:ascii="Verdana" w:hAnsi="Verdana"/>
          <w:color w:val="0F243E" w:themeColor="text2" w:themeShade="80"/>
          <w:sz w:val="20"/>
          <w:szCs w:val="20"/>
        </w:rPr>
      </w:pPr>
    </w:p>
    <w:p w:rsidR="00CE60A1" w:rsidRPr="00954152" w:rsidRDefault="00CE60A1" w:rsidP="00CE60A1">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w:t>
      </w:r>
    </w:p>
    <w:p w:rsidR="004028EB" w:rsidRDefault="004028EB">
      <w:pPr>
        <w:rPr>
          <w:rFonts w:ascii="Verdana" w:hAnsi="Verdana"/>
          <w:color w:val="0F243E" w:themeColor="text2" w:themeShade="80"/>
        </w:rPr>
      </w:pPr>
      <w:r>
        <w:rPr>
          <w:rFonts w:ascii="Verdana" w:hAnsi="Verdana"/>
          <w:color w:val="0F243E" w:themeColor="text2" w:themeShade="80"/>
        </w:rPr>
        <w:br w:type="page"/>
      </w:r>
    </w:p>
    <w:p w:rsidR="004028EB" w:rsidRPr="00954152" w:rsidRDefault="004028EB" w:rsidP="004028EB">
      <w:pPr>
        <w:spacing w:after="0"/>
        <w:rPr>
          <w:rFonts w:ascii="Verdana" w:hAnsi="Verdana"/>
          <w:color w:val="0F243E" w:themeColor="text2" w:themeShade="80"/>
        </w:rPr>
      </w:pP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8108"/>
        <w:gridCol w:w="2574"/>
      </w:tblGrid>
      <w:tr w:rsidR="004028EB" w:rsidRPr="00954152" w:rsidTr="007D2A12">
        <w:trPr>
          <w:trHeight w:val="586"/>
        </w:trPr>
        <w:tc>
          <w:tcPr>
            <w:tcW w:w="3795" w:type="pct"/>
            <w:shd w:val="clear" w:color="auto" w:fill="8DB3E2" w:themeFill="text2" w:themeFillTint="66"/>
            <w:vAlign w:val="center"/>
          </w:tcPr>
          <w:p w:rsidR="004028EB" w:rsidRPr="000C5DE8" w:rsidRDefault="004028EB" w:rsidP="007D2A12">
            <w:pPr>
              <w:spacing w:line="276" w:lineRule="auto"/>
              <w:rPr>
                <w:rFonts w:ascii="Verdana" w:hAnsi="Verdana"/>
                <w:b/>
                <w:color w:val="0F243E" w:themeColor="text2" w:themeShade="80"/>
                <w:lang w:val="de-DE"/>
              </w:rPr>
            </w:pPr>
            <w:bookmarkStart w:id="1" w:name="Unit1b"/>
            <w:r w:rsidRPr="000C5DE8">
              <w:rPr>
                <w:rFonts w:ascii="Verdana" w:hAnsi="Verdana"/>
                <w:b/>
                <w:color w:val="0F243E" w:themeColor="text2" w:themeShade="80"/>
                <w:lang w:val="de-DE"/>
              </w:rPr>
              <w:t xml:space="preserve">1b. Decimals </w:t>
            </w:r>
          </w:p>
          <w:bookmarkEnd w:id="1"/>
          <w:p w:rsidR="004028EB" w:rsidRPr="000C5DE8" w:rsidRDefault="004028EB" w:rsidP="007D2A12">
            <w:pPr>
              <w:spacing w:line="276" w:lineRule="auto"/>
              <w:rPr>
                <w:rFonts w:ascii="Verdana" w:hAnsi="Verdana"/>
                <w:color w:val="0F243E" w:themeColor="text2" w:themeShade="80"/>
                <w:lang w:val="de-DE"/>
              </w:rPr>
            </w:pPr>
            <w:r w:rsidRPr="000C5DE8">
              <w:rPr>
                <w:rFonts w:ascii="Verdana" w:hAnsi="Verdana"/>
                <w:color w:val="0F243E" w:themeColor="text2" w:themeShade="80"/>
                <w:lang w:val="de-DE"/>
              </w:rPr>
              <w:t xml:space="preserve">(N1, N2, N3, N13, </w:t>
            </w:r>
            <w:r>
              <w:rPr>
                <w:rFonts w:ascii="Verdana" w:hAnsi="Verdana"/>
                <w:color w:val="0F243E" w:themeColor="text2" w:themeShade="80"/>
                <w:lang w:val="de-DE"/>
              </w:rPr>
              <w:t xml:space="preserve">N14, </w:t>
            </w:r>
            <w:r w:rsidRPr="000C5DE8">
              <w:rPr>
                <w:rFonts w:ascii="Verdana" w:hAnsi="Verdana"/>
                <w:color w:val="0F243E" w:themeColor="text2" w:themeShade="80"/>
                <w:lang w:val="de-DE"/>
              </w:rPr>
              <w:t>N15)</w:t>
            </w:r>
          </w:p>
        </w:tc>
        <w:tc>
          <w:tcPr>
            <w:tcW w:w="1205" w:type="pct"/>
            <w:shd w:val="clear" w:color="auto" w:fill="8DB3E2" w:themeFill="text2" w:themeFillTint="66"/>
          </w:tcPr>
          <w:p w:rsidR="004028EB" w:rsidRPr="00954152" w:rsidRDefault="004028EB" w:rsidP="007D2A12">
            <w:pPr>
              <w:spacing w:line="276" w:lineRule="auto"/>
              <w:jc w:val="center"/>
              <w:rPr>
                <w:rFonts w:ascii="Verdana" w:hAnsi="Verdana"/>
                <w:color w:val="0F243E" w:themeColor="text2" w:themeShade="80"/>
              </w:rPr>
            </w:pPr>
            <w:r w:rsidRPr="00954152">
              <w:rPr>
                <w:rFonts w:ascii="Verdana" w:hAnsi="Verdana"/>
                <w:b/>
                <w:color w:val="0F243E" w:themeColor="text2" w:themeShade="80"/>
              </w:rPr>
              <w:t>Teaching time</w:t>
            </w:r>
          </w:p>
          <w:p w:rsidR="004028EB" w:rsidRPr="00954152" w:rsidRDefault="004028EB" w:rsidP="007D2A12">
            <w:pPr>
              <w:spacing w:line="276" w:lineRule="auto"/>
              <w:jc w:val="center"/>
              <w:rPr>
                <w:rFonts w:ascii="Verdana" w:hAnsi="Verdana"/>
                <w:color w:val="0F243E" w:themeColor="text2" w:themeShade="80"/>
              </w:rPr>
            </w:pPr>
            <w:r>
              <w:rPr>
                <w:rFonts w:ascii="Verdana" w:hAnsi="Verdana"/>
                <w:color w:val="0F243E" w:themeColor="text2" w:themeShade="80"/>
              </w:rPr>
              <w:t>2-4</w:t>
            </w:r>
            <w:r w:rsidRPr="00954152">
              <w:rPr>
                <w:rFonts w:ascii="Verdana" w:hAnsi="Verdana"/>
                <w:color w:val="0F243E" w:themeColor="text2" w:themeShade="80"/>
              </w:rPr>
              <w:t xml:space="preserve"> hours</w:t>
            </w:r>
          </w:p>
        </w:tc>
      </w:tr>
    </w:tbl>
    <w:p w:rsidR="004028EB" w:rsidRPr="00954152" w:rsidRDefault="004028EB" w:rsidP="004028EB">
      <w:pPr>
        <w:spacing w:before="240"/>
        <w:rPr>
          <w:rFonts w:ascii="Verdana" w:hAnsi="Verdana"/>
          <w:b/>
          <w:color w:val="0F243E" w:themeColor="text2" w:themeShade="80"/>
          <w:sz w:val="20"/>
        </w:rPr>
      </w:pPr>
      <w:r w:rsidRPr="00954152">
        <w:rPr>
          <w:rFonts w:ascii="Verdana" w:hAnsi="Verdana"/>
          <w:b/>
          <w:color w:val="0F243E" w:themeColor="text2" w:themeShade="80"/>
          <w:sz w:val="20"/>
        </w:rPr>
        <w:t>OBJECTIVES</w:t>
      </w:r>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By the end of the sub-unit, students should be able to:</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decimal notation and place value;</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Identify the value of digits in a decimal or whole number;</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Compare and order decimal numbers using the symbols &lt;, &gt;;</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Understand the ≠ symbol (not equal);</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Write decimal numbers of millions, e.g. 2 300 000 = 2.3 million; </w:t>
      </w:r>
    </w:p>
    <w:p w:rsidR="004028EB" w:rsidRPr="00954152" w:rsidRDefault="004028EB" w:rsidP="004028EB">
      <w:pPr>
        <w:pStyle w:val="ListParagraph"/>
        <w:numPr>
          <w:ilvl w:val="0"/>
          <w:numId w:val="1"/>
        </w:numPr>
        <w:pBdr>
          <w:left w:val="single" w:sz="4" w:space="10" w:color="auto"/>
          <w:right w:val="single" w:sz="4" w:space="10" w:color="auto"/>
        </w:pBd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Add, subtract, multiply and divide decimals</w:t>
      </w:r>
      <w:r>
        <w:rPr>
          <w:rFonts w:ascii="Verdana" w:hAnsi="Verdana"/>
          <w:color w:val="0F243E" w:themeColor="text2" w:themeShade="80"/>
          <w:sz w:val="20"/>
          <w:szCs w:val="20"/>
        </w:rPr>
        <w:t>, including calculations involving money</w:t>
      </w:r>
      <w:r w:rsidRPr="00954152">
        <w:rPr>
          <w:rFonts w:ascii="Verdana" w:hAnsi="Verdana"/>
          <w:color w:val="0F243E" w:themeColor="text2" w:themeShade="80"/>
          <w:sz w:val="20"/>
          <w:szCs w:val="20"/>
        </w:rPr>
        <w:t>;</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Multiply or divide by any number between 0 and 1;</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Round to the nearest integer;</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Round to a given number of decimal places</w:t>
      </w:r>
      <w:r>
        <w:rPr>
          <w:rFonts w:ascii="Verdana" w:hAnsi="Verdana"/>
          <w:color w:val="0F243E" w:themeColor="text2" w:themeShade="80"/>
          <w:sz w:val="20"/>
          <w:szCs w:val="20"/>
        </w:rPr>
        <w:t xml:space="preserve"> and significant figures;</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Estimate answers to calculations by rounding numbers to 1 significant figure;</w:t>
      </w:r>
    </w:p>
    <w:p w:rsidR="004028EB" w:rsidRPr="00954152" w:rsidRDefault="004028EB" w:rsidP="004028EB">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Use one calculation to find the answer to another. </w:t>
      </w:r>
    </w:p>
    <w:p w:rsidR="004028EB" w:rsidRPr="00954152" w:rsidRDefault="004028EB" w:rsidP="004028EB">
      <w:pPr>
        <w:spacing w:after="0"/>
        <w:jc w:val="both"/>
        <w:rPr>
          <w:rFonts w:ascii="Verdana" w:hAnsi="Verdana"/>
          <w:b/>
          <w:color w:val="0F243E" w:themeColor="text2" w:themeShade="80"/>
          <w:sz w:val="20"/>
          <w:szCs w:val="20"/>
        </w:rPr>
      </w:pPr>
    </w:p>
    <w:p w:rsidR="004028EB" w:rsidRPr="00954152" w:rsidRDefault="004028EB" w:rsidP="004028EB">
      <w:pPr>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Use mental methods for × and ÷, e.g. 5 × 0.6, 1.8 ÷ 3.</w:t>
      </w:r>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Solve a problem involving division by a decimal (up to 2 decimal places).</w:t>
      </w:r>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Given 2.6 × 15.8 = 41.08, what is 26 × 0.158? What is 4108 ÷ 26? </w:t>
      </w:r>
    </w:p>
    <w:p w:rsidR="004028EB" w:rsidRPr="00954152" w:rsidRDefault="004028EB" w:rsidP="004028EB">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Calculate, e.g. 5.2 million + 4.3 million.</w:t>
      </w:r>
    </w:p>
    <w:p w:rsidR="004028EB" w:rsidRPr="00954152" w:rsidRDefault="004028EB" w:rsidP="004028EB">
      <w:pPr>
        <w:spacing w:after="0"/>
        <w:jc w:val="both"/>
        <w:rPr>
          <w:rFonts w:ascii="Verdana" w:hAnsi="Verdana"/>
          <w:b/>
          <w:color w:val="0F243E" w:themeColor="text2" w:themeShade="80"/>
          <w:sz w:val="20"/>
          <w:szCs w:val="20"/>
        </w:rPr>
      </w:pPr>
    </w:p>
    <w:p w:rsidR="004028EB" w:rsidRDefault="004028EB" w:rsidP="004028EB">
      <w:pPr>
        <w:jc w:val="both"/>
        <w:rPr>
          <w:rFonts w:ascii="Verdana" w:hAnsi="Verdana"/>
          <w:b/>
          <w:color w:val="0F243E" w:themeColor="text2" w:themeShade="80"/>
          <w:sz w:val="20"/>
          <w:szCs w:val="20"/>
        </w:rPr>
      </w:pPr>
      <w:r w:rsidRPr="00AA6CCC">
        <w:rPr>
          <w:rFonts w:ascii="Verdana" w:hAnsi="Verdana"/>
          <w:b/>
          <w:color w:val="0F243E" w:themeColor="text2" w:themeShade="80"/>
          <w:sz w:val="20"/>
          <w:szCs w:val="20"/>
        </w:rPr>
        <w:t>OPPORTUNITIES FOR REASONING/PROBLEM SOLVING</w:t>
      </w:r>
    </w:p>
    <w:p w:rsidR="004028EB" w:rsidRDefault="004028EB" w:rsidP="004028EB">
      <w:pPr>
        <w:spacing w:after="0"/>
        <w:jc w:val="both"/>
        <w:rPr>
          <w:rFonts w:ascii="Verdana" w:hAnsi="Verdana"/>
          <w:color w:val="0F243E" w:themeColor="text2" w:themeShade="80"/>
          <w:sz w:val="20"/>
          <w:szCs w:val="20"/>
        </w:rPr>
      </w:pPr>
      <w:r w:rsidRPr="00B95A7E">
        <w:rPr>
          <w:rFonts w:ascii="Verdana" w:hAnsi="Verdana"/>
          <w:color w:val="0F243E" w:themeColor="text2" w:themeShade="80"/>
          <w:sz w:val="20"/>
          <w:szCs w:val="20"/>
        </w:rPr>
        <w:t xml:space="preserve">Problems involving shopping for multiple items, such as: Rob purchases a magazine costing £2.10, a newspaper costing 82p and two bars of chocolate. He pays with a £10 note and gets £5.40 change. Work out the cost of one bar of chocolate. </w:t>
      </w:r>
    </w:p>
    <w:p w:rsidR="004028EB" w:rsidRDefault="004028EB" w:rsidP="004028EB">
      <w:pPr>
        <w:spacing w:after="0"/>
        <w:jc w:val="both"/>
        <w:rPr>
          <w:rFonts w:ascii="Verdana" w:hAnsi="Verdana"/>
          <w:color w:val="0F243E" w:themeColor="text2" w:themeShade="80"/>
          <w:sz w:val="20"/>
          <w:szCs w:val="20"/>
        </w:rPr>
      </w:pPr>
      <w:r w:rsidRPr="00B95A7E">
        <w:rPr>
          <w:rFonts w:ascii="Verdana" w:hAnsi="Verdana"/>
          <w:color w:val="0F243E" w:themeColor="text2" w:themeShade="80"/>
          <w:sz w:val="20"/>
          <w:szCs w:val="20"/>
        </w:rPr>
        <w:t>When estimating</w:t>
      </w:r>
      <w:r>
        <w:rPr>
          <w:rFonts w:ascii="Verdana" w:hAnsi="Verdana"/>
          <w:color w:val="0F243E" w:themeColor="text2" w:themeShade="80"/>
          <w:sz w:val="20"/>
          <w:szCs w:val="20"/>
        </w:rPr>
        <w:t>,</w:t>
      </w:r>
      <w:r w:rsidRPr="00B95A7E">
        <w:rPr>
          <w:rFonts w:ascii="Verdana" w:hAnsi="Verdana"/>
          <w:color w:val="0F243E" w:themeColor="text2" w:themeShade="80"/>
          <w:sz w:val="20"/>
          <w:szCs w:val="20"/>
        </w:rPr>
        <w:t xml:space="preserve"> </w:t>
      </w:r>
      <w:r>
        <w:rPr>
          <w:rFonts w:ascii="Verdana" w:hAnsi="Verdana"/>
          <w:color w:val="0F243E" w:themeColor="text2" w:themeShade="80"/>
          <w:sz w:val="20"/>
          <w:szCs w:val="20"/>
        </w:rPr>
        <w:t xml:space="preserve">students should </w:t>
      </w:r>
      <w:r w:rsidRPr="00B95A7E">
        <w:rPr>
          <w:rFonts w:ascii="Verdana" w:hAnsi="Verdana"/>
          <w:color w:val="0F243E" w:themeColor="text2" w:themeShade="80"/>
          <w:sz w:val="20"/>
          <w:szCs w:val="20"/>
        </w:rPr>
        <w:t>be able to justify whether the answer will be an overestimate or underestimate.</w:t>
      </w:r>
    </w:p>
    <w:p w:rsidR="004028EB" w:rsidRPr="00954152" w:rsidRDefault="004028EB" w:rsidP="004028EB">
      <w:pPr>
        <w:spacing w:after="0"/>
        <w:jc w:val="both"/>
        <w:rPr>
          <w:rFonts w:ascii="Verdana" w:hAnsi="Verdana"/>
          <w:b/>
          <w:color w:val="0F243E" w:themeColor="text2" w:themeShade="80"/>
          <w:sz w:val="20"/>
          <w:szCs w:val="20"/>
        </w:rPr>
      </w:pPr>
    </w:p>
    <w:p w:rsidR="004028EB" w:rsidRPr="00954152" w:rsidRDefault="004028EB" w:rsidP="004028EB">
      <w:pPr>
        <w:rPr>
          <w:rFonts w:ascii="Verdana" w:hAnsi="Verdana"/>
          <w:b/>
          <w:color w:val="0F243E" w:themeColor="text2" w:themeShade="80"/>
          <w:sz w:val="20"/>
          <w:szCs w:val="20"/>
        </w:rPr>
      </w:pPr>
      <w:r w:rsidRPr="00954152">
        <w:rPr>
          <w:rFonts w:ascii="Verdana" w:hAnsi="Verdana"/>
          <w:b/>
          <w:color w:val="0F243E" w:themeColor="text2" w:themeShade="80"/>
          <w:sz w:val="20"/>
          <w:szCs w:val="20"/>
        </w:rPr>
        <w:t xml:space="preserve">COMMON MISCONCEPTIONS </w:t>
      </w:r>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Significant figures and decimal place rounding are often confused.</w:t>
      </w:r>
    </w:p>
    <w:p w:rsidR="004028EB" w:rsidRPr="00954152" w:rsidRDefault="004028EB" w:rsidP="004028EB">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Some students may think 35 877 = 36 to two significant figures.</w:t>
      </w:r>
    </w:p>
    <w:p w:rsidR="004028EB" w:rsidRPr="00954152" w:rsidRDefault="004028EB" w:rsidP="004028EB">
      <w:pPr>
        <w:suppressAutoHyphens/>
        <w:spacing w:after="0"/>
        <w:jc w:val="both"/>
        <w:rPr>
          <w:rFonts w:ascii="Verdana" w:hAnsi="Verdana" w:cs="Lucida Sans Unicode"/>
          <w:color w:val="0F243E" w:themeColor="text2" w:themeShade="80"/>
          <w:sz w:val="20"/>
          <w:szCs w:val="20"/>
        </w:rPr>
      </w:pPr>
    </w:p>
    <w:p w:rsidR="004028EB" w:rsidRPr="00954152" w:rsidRDefault="004028EB" w:rsidP="004028EB">
      <w:pPr>
        <w:rPr>
          <w:rFonts w:ascii="Verdana" w:hAnsi="Verdana"/>
          <w:b/>
          <w:color w:val="0F243E" w:themeColor="text2" w:themeShade="80"/>
          <w:sz w:val="20"/>
          <w:szCs w:val="20"/>
        </w:rPr>
      </w:pPr>
      <w:r w:rsidRPr="00954152">
        <w:rPr>
          <w:rFonts w:ascii="Verdana" w:hAnsi="Verdana"/>
          <w:b/>
          <w:color w:val="0F243E" w:themeColor="text2" w:themeShade="80"/>
          <w:sz w:val="20"/>
          <w:szCs w:val="20"/>
        </w:rPr>
        <w:t>NOTES</w:t>
      </w:r>
    </w:p>
    <w:p w:rsidR="004028EB" w:rsidRPr="00954152" w:rsidRDefault="004028EB" w:rsidP="004028EB">
      <w:pPr>
        <w:spacing w:after="0"/>
        <w:jc w:val="both"/>
        <w:rPr>
          <w:rFonts w:ascii="Verdana" w:hAnsi="Verdana"/>
          <w:color w:val="0F243E" w:themeColor="text2" w:themeShade="80"/>
          <w:sz w:val="20"/>
          <w:szCs w:val="20"/>
        </w:rPr>
      </w:pPr>
      <w:proofErr w:type="gramStart"/>
      <w:r w:rsidRPr="00954152">
        <w:rPr>
          <w:rFonts w:ascii="Verdana" w:hAnsi="Verdana"/>
          <w:color w:val="0F243E" w:themeColor="text2" w:themeShade="80"/>
          <w:sz w:val="20"/>
          <w:szCs w:val="20"/>
        </w:rPr>
        <w:t>Practise long multiplication and division, use mental maths problems with decimals such as 0.1, 0.001.</w:t>
      </w:r>
      <w:proofErr w:type="gramEnd"/>
    </w:p>
    <w:p w:rsidR="004028EB" w:rsidRPr="00954152" w:rsidRDefault="004028EB" w:rsidP="004028EB">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Amounts of money should always be rounded to the nearest penny.</w:t>
      </w:r>
    </w:p>
    <w:p w:rsidR="00CE60A1" w:rsidRPr="004028EB" w:rsidRDefault="00CE60A1" w:rsidP="00CE60A1">
      <w:pPr>
        <w:spacing w:after="0"/>
        <w:rPr>
          <w:color w:val="0F243E" w:themeColor="text2" w:themeShade="80"/>
        </w:rPr>
      </w:pPr>
      <w:bookmarkStart w:id="2" w:name="_GoBack"/>
      <w:bookmarkEnd w:id="2"/>
    </w:p>
    <w:sectPr w:rsidR="00CE60A1" w:rsidRPr="004028EB" w:rsidSect="00CE60A1">
      <w:headerReference w:type="default" r:id="rId6"/>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4028EB" w:rsidP="00BA2A5D">
    <w:pPr>
      <w:pStyle w:val="PageNumber1"/>
      <w:framePr w:wrap="around"/>
    </w:pPr>
    <w:r>
      <w:fldChar w:fldCharType="begin"/>
    </w:r>
    <w:r>
      <w:instrText xml:space="preserve">PAGE  </w:instrText>
    </w:r>
    <w:r>
      <w:fldChar w:fldCharType="separate"/>
    </w:r>
    <w:r>
      <w:t>4</w:t>
    </w:r>
    <w:r>
      <w:fldChar w:fldCharType="end"/>
    </w:r>
  </w:p>
  <w:p w:rsidR="00481D02" w:rsidRPr="00BA2A5D" w:rsidRDefault="004028EB" w:rsidP="00E925C3">
    <w:pPr>
      <w:pStyle w:val="Footerodd"/>
      <w:tabs>
        <w:tab w:val="right" w:pos="9639"/>
      </w:tabs>
    </w:pPr>
    <w:r>
      <w:tab/>
    </w:r>
    <w:r w:rsidRPr="009D798A">
      <w:t>Pearson Edexcel Level 1/Level 2 GCSE</w:t>
    </w:r>
    <w:r>
      <w:t xml:space="preserve"> (9 – 1)</w:t>
    </w:r>
    <w:r w:rsidRPr="009D798A">
      <w:t xml:space="preserve"> in Mathematics</w:t>
    </w:r>
    <w:r>
      <w:t xml:space="preserve"> </w:t>
    </w:r>
    <w:r>
      <w:br/>
    </w:r>
    <w:r>
      <w:tab/>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 xml:space="preserve">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4028EB" w:rsidP="00BA2A5D">
    <w:pPr>
      <w:pStyle w:val="PageNumber1"/>
      <w:framePr w:wrap="around"/>
    </w:pPr>
    <w:r>
      <w:fldChar w:fldCharType="begin"/>
    </w:r>
    <w:r>
      <w:instrText xml:space="preserve">PAGE  </w:instrText>
    </w:r>
    <w:r>
      <w:fldChar w:fldCharType="separate"/>
    </w:r>
    <w:r>
      <w:t>1</w:t>
    </w:r>
    <w:r>
      <w:fldChar w:fldCharType="end"/>
    </w:r>
  </w:p>
  <w:p w:rsidR="00481D02" w:rsidRPr="00BA2A5D" w:rsidRDefault="004028EB" w:rsidP="00BA2A5D">
    <w:pPr>
      <w:pStyle w:val="Footerodd"/>
    </w:pPr>
    <w:r w:rsidRPr="009D798A">
      <w:t>Pearson Edexcel Level 1/Level 2 GCSE</w:t>
    </w:r>
    <w:r>
      <w:t xml:space="preserve"> (9 – 1)</w:t>
    </w:r>
    <w:r w:rsidRPr="009D798A">
      <w:t xml:space="preserve"> in Mathematics</w:t>
    </w:r>
    <w:r>
      <w:t xml:space="preserve"> </w:t>
    </w:r>
    <w:r>
      <w:br/>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4028EB" w:rsidP="00BA2A5D">
    <w:pPr>
      <w:pStyle w:val="PageNumber1"/>
      <w:framePr w:wrap="around"/>
    </w:pPr>
    <w:r>
      <w:fldChar w:fldCharType="begin"/>
    </w:r>
    <w:r>
      <w:instrText xml:space="preserve">PAGE  </w:instrText>
    </w:r>
    <w:r>
      <w:fldChar w:fldCharType="separate"/>
    </w:r>
    <w:r>
      <w:t>5</w:t>
    </w:r>
    <w:r>
      <w:fldChar w:fldCharType="end"/>
    </w:r>
  </w:p>
  <w:p w:rsidR="00481D02" w:rsidRPr="00BA2A5D" w:rsidRDefault="004028EB" w:rsidP="00BA2A5D">
    <w:pPr>
      <w:pStyle w:val="Footerodd"/>
    </w:pPr>
    <w:r w:rsidRPr="009D798A">
      <w:t>Pearson Edexcel Level 1/Level 2 GCSE</w:t>
    </w:r>
    <w:r>
      <w:t xml:space="preserve"> (9 - 1)</w:t>
    </w:r>
    <w:r w:rsidRPr="009D798A">
      <w:t xml:space="preserve"> in Mathematics</w:t>
    </w:r>
    <w:r>
      <w:t xml:space="preserve"> </w:t>
    </w:r>
    <w:r>
      <w:br/>
    </w:r>
    <w:r w:rsidRPr="009D798A">
      <w:t xml:space="preserve">Specification – </w:t>
    </w:r>
    <w:r>
      <w:t>Issue</w:t>
    </w:r>
    <w:r w:rsidRPr="009D798A">
      <w:t xml:space="preserve"> 1 – </w:t>
    </w:r>
    <w:r>
      <w:t xml:space="preserve">August </w:t>
    </w:r>
    <w:proofErr w:type="gramStart"/>
    <w:r w:rsidRPr="009D798A">
      <w:t>2014  ©</w:t>
    </w:r>
    <w:proofErr w:type="gramEnd"/>
    <w:r w:rsidRPr="009D798A">
      <w:t xml:space="preserve"> Pearson Education </w:t>
    </w:r>
    <w:r w:rsidRPr="008E751B">
      <w:t>Limited</w:t>
    </w:r>
    <w:r w:rsidRPr="009D798A">
      <w:t xml:space="preserve"> 2014</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715FD9" w:rsidRDefault="004028EB" w:rsidP="00715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A1"/>
    <w:rsid w:val="004028EB"/>
    <w:rsid w:val="007C64E1"/>
    <w:rsid w:val="00CE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3E8F7AE8</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2016-07-08T07:14:00Z</dcterms:created>
  <dcterms:modified xsi:type="dcterms:W3CDTF">2016-07-08T07:14:00Z</dcterms:modified>
</cp:coreProperties>
</file>