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D6" w:rsidRPr="00954152" w:rsidRDefault="004E0AD6" w:rsidP="004E0AD6">
      <w:pPr>
        <w:rPr>
          <w:b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4E0AD6" w:rsidRPr="00954152" w:rsidTr="005765EB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4E0AD6" w:rsidRPr="00954152" w:rsidRDefault="004E0AD6" w:rsidP="005765EB">
            <w:pPr>
              <w:spacing w:line="276" w:lineRule="auto"/>
              <w:rPr>
                <w:rFonts w:ascii="Verdana" w:hAnsi="Verdana"/>
                <w:b/>
                <w:color w:val="FFFFFF" w:themeColor="background1"/>
              </w:rPr>
            </w:pPr>
            <w:bookmarkStart w:id="0" w:name="HUnit7"/>
            <w:r w:rsidRPr="00954152">
              <w:rPr>
                <w:rFonts w:ascii="Verdana" w:hAnsi="Verdana"/>
                <w:b/>
                <w:color w:val="FFFFFF" w:themeColor="background1"/>
              </w:rPr>
              <w:t>UNIT 7: Perimeter, area and volume, plane shapes and prisms, circles, cylinders, spheres, cones; Accuracy and bounds</w:t>
            </w:r>
            <w:bookmarkEnd w:id="0"/>
          </w:p>
        </w:tc>
      </w:tr>
    </w:tbl>
    <w:p w:rsidR="004E0AD6" w:rsidRDefault="004E0AD6" w:rsidP="004E0AD6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4E0AD6" w:rsidRPr="00954152" w:rsidRDefault="004E0AD6" w:rsidP="004E0A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calculate exactly with …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multiples of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π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estimate answers; check calculations using approximation and estimation, including answers obtained using technology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round numbers and measures to an appropriate degree of accuracy (e.g. to a specified number of decimal places or significant figures);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inequality notation to specify simple error intervals due to truncation or rounding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and interpret limits of accuracy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including upper and lower bounds</w:t>
      </w:r>
    </w:p>
    <w:p w:rsidR="004E0AD6" w:rsidRDefault="004E0AD6" w:rsidP="004E0AD6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DC0E37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understand and use standard mathematical formulae; rearrange formulae to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DC0E37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change the subject</w:t>
      </w:r>
    </w:p>
    <w:p w:rsidR="004E0AD6" w:rsidRDefault="004E0AD6" w:rsidP="004E0AD6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A21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0B6C4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translate simple situations or procedures into algebraic expressions or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0B6C4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formulae; derive an equation (or two simultaneous equations), solve the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0B6C4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equation(s) and interpret the solution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…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conventional terms and notations: points, lines, vertices, edges, planes, parallel lines, perpendicular lines, right angles, polygons, regular polygons and polygons with reflection and/or rotation symmetries; …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 and apply circle definitions and properties, including: centre, radius, chord, diameter, circumference,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tangent, arc, sector and segment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properties of the faces, surfaces, edges and vertices of: cubes, cuboids, prisms, cylinders, pyramids, cones and spheres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construct and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interpret plans and elevations of 3D shapes.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measure and related concepts (length, area, volume/capacity, mass, time, money, etc)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know and apply formulae to calculate: area of triangles, parallelograms, trapezia; volume of cuboids and other right prisms (including cylinders)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know the formulae: circumference of a circle = 2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= </w:t>
      </w:r>
      <w:proofErr w:type="gramStart"/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πd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area of a circle =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calculate: perimeters of 2D shapes, including circles; areas of circles and composite shapes;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surface area and volume of spheres, pyramids, cones and composite solids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calculate arc lengths, angles and areas of sectors of circles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E0AD6" w:rsidRPr="00954152" w:rsidRDefault="004E0AD6" w:rsidP="004E0A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the names and properties of 3D forms.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The concept of perimeter and area by measuring lengths of sides will be familiar to students. 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substitute numbers into an equation and give answers to an appropriate degree of accuracy.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know the various metric units. 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E0AD6" w:rsidRPr="00954152" w:rsidRDefault="004E0AD6" w:rsidP="004E0A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39261A" w:rsidRDefault="004E0AD6" w:rsidP="0039261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Triangle, rectangle, parallelogram, trapezium, area, perimeter, formula, length, width, prism, compound, measurement, polygon, cuboid, volume, nets, isometric, symmetry, vertices, edge, face, circle, segment, arc, sector, cylinder, circumference, radius, diameter, pi, composite, sphere, cone, capacity, hemisphere, segment, frustum, bounds, accuracy, surface area</w:t>
      </w:r>
    </w:p>
    <w:p w:rsidR="0039261A" w:rsidRPr="0039261A" w:rsidRDefault="0039261A" w:rsidP="0039261A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p w:rsidR="008F2E99" w:rsidRPr="00954152" w:rsidRDefault="008F2E99" w:rsidP="008F2E99">
      <w:pPr>
        <w:rPr>
          <w:b/>
          <w:color w:val="0F243E" w:themeColor="text2" w:themeShade="80"/>
        </w:rPr>
      </w:pPr>
      <w:bookmarkStart w:id="1" w:name="_GoBack"/>
      <w:bookmarkEnd w:id="1"/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08"/>
        <w:gridCol w:w="2574"/>
      </w:tblGrid>
      <w:tr w:rsidR="008F2E99" w:rsidRPr="00954152" w:rsidTr="005765EB">
        <w:tc>
          <w:tcPr>
            <w:tcW w:w="3795" w:type="pct"/>
            <w:shd w:val="clear" w:color="auto" w:fill="8DB3E2" w:themeFill="text2" w:themeFillTint="66"/>
            <w:vAlign w:val="center"/>
          </w:tcPr>
          <w:p w:rsidR="008F2E99" w:rsidRPr="00954152" w:rsidRDefault="008F2E99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7c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 xml:space="preserve">7c. Accuracy and bounds </w:t>
            </w:r>
          </w:p>
          <w:p w:rsidR="008F2E99" w:rsidRPr="00954152" w:rsidRDefault="008F2E99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(N15, N16)</w:t>
            </w:r>
            <w:bookmarkEnd w:id="2"/>
          </w:p>
        </w:tc>
        <w:tc>
          <w:tcPr>
            <w:tcW w:w="1205" w:type="pct"/>
            <w:shd w:val="clear" w:color="auto" w:fill="8DB3E2" w:themeFill="text2" w:themeFillTint="66"/>
          </w:tcPr>
          <w:p w:rsidR="008F2E99" w:rsidRPr="00954152" w:rsidRDefault="008F2E99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8F2E99" w:rsidRPr="00954152" w:rsidRDefault="008F2E99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4-6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8F2E99" w:rsidRPr="00954152" w:rsidRDefault="008F2E99" w:rsidP="008F2E99">
      <w:pPr>
        <w:spacing w:before="24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By the end of the sub-unit, students should be able to: </w:t>
      </w:r>
    </w:p>
    <w:p w:rsidR="008F2E99" w:rsidRPr="00954152" w:rsidRDefault="008F2E99" w:rsidP="008F2E9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the upper and lowers bounds of numbers given to varying degrees of accuracy; </w:t>
      </w:r>
    </w:p>
    <w:p w:rsidR="008F2E99" w:rsidRPr="00954152" w:rsidRDefault="008F2E99" w:rsidP="008F2E9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Calculate the upper and lower bounds of an expression involving the four operations;</w:t>
      </w:r>
    </w:p>
    <w:p w:rsidR="008F2E99" w:rsidRPr="00954152" w:rsidRDefault="008F2E99" w:rsidP="008F2E9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upper and lower bounds in real-life situations using measurements given to appropriate degrees of accuracy; </w:t>
      </w:r>
    </w:p>
    <w:p w:rsidR="008F2E99" w:rsidRPr="00954152" w:rsidRDefault="008F2E99" w:rsidP="008F2E9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upper and lower bounds of calculations involving perimeters, areas and volumes of 2D and 3D shapes; </w:t>
      </w:r>
    </w:p>
    <w:p w:rsidR="008F2E99" w:rsidRPr="00954152" w:rsidRDefault="008F2E99" w:rsidP="008F2E9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the upper and lower bounds of calculations, particularly when working with measurements; </w:t>
      </w:r>
    </w:p>
    <w:p w:rsidR="008F2E99" w:rsidRDefault="008F2E99" w:rsidP="008F2E99">
      <w:pPr>
        <w:pStyle w:val="ListParagraph"/>
        <w:numPr>
          <w:ilvl w:val="0"/>
          <w:numId w:val="13"/>
        </w:numPr>
        <w:pBdr>
          <w:left w:val="single" w:sz="4" w:space="10" w:color="auto"/>
          <w:right w:val="single" w:sz="4" w:space="10" w:color="auto"/>
        </w:pBd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inequality notation to specify an error </w:t>
      </w:r>
      <w:r>
        <w:rPr>
          <w:rFonts w:ascii="Verdana" w:hAnsi="Verdana"/>
          <w:color w:val="0F243E" w:themeColor="text2" w:themeShade="80"/>
          <w:sz w:val="20"/>
          <w:szCs w:val="20"/>
        </w:rPr>
        <w:t>interval due to truncation or rounding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8F2E99" w:rsidRPr="00954152" w:rsidRDefault="008F2E99" w:rsidP="008F2E99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F2E99" w:rsidRPr="00954152" w:rsidRDefault="008F2E99" w:rsidP="008F2E99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Round 16,000 people to the nearest 1000.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Round 1100 g to 1 significant figure.</w:t>
      </w:r>
      <w:proofErr w:type="gramEnd"/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Work out the upper and lower bounds of a formula where all terms are given to 1 decimal place.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Be able to justify that measurements to the nearest whole unit may be inaccurate by up to one half in either direction.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F2E99" w:rsidRDefault="008F2E99" w:rsidP="008F2E9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8F2E99" w:rsidRPr="00A05850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This sub-unit provides many opportunities for students to evaluate their answers and provide counter-arguments in mathematical and real-life contexts, in addition to requiring them to understand the implications of rounding their answers. 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F2E99" w:rsidRPr="00954152" w:rsidRDefault="008F2E99" w:rsidP="008F2E99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readily accept the rounding for lower bounds, but take some convincing in relation to upper bounds.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F2E99" w:rsidRPr="00954152" w:rsidRDefault="008F2E99" w:rsidP="008F2E99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use ‘half a unit above’ and ‘half a unit below’ to find upper and lower bounds. 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Encourage use a number line when introducing the concept.</w:t>
      </w:r>
    </w:p>
    <w:p w:rsidR="008F2E99" w:rsidRPr="00954152" w:rsidRDefault="008F2E99" w:rsidP="008F2E99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F2E99" w:rsidRPr="00954152" w:rsidRDefault="008F2E99" w:rsidP="008F2E99">
      <w:pPr>
        <w:rPr>
          <w:b/>
          <w:color w:val="0F243E" w:themeColor="text2" w:themeShade="80"/>
        </w:rPr>
      </w:pPr>
    </w:p>
    <w:sectPr w:rsidR="008F2E99" w:rsidRPr="00954152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39261A"/>
    <w:rsid w:val="00427BC5"/>
    <w:rsid w:val="004E0AD6"/>
    <w:rsid w:val="005F7E54"/>
    <w:rsid w:val="00606A67"/>
    <w:rsid w:val="006C2B02"/>
    <w:rsid w:val="006C6AFE"/>
    <w:rsid w:val="00774718"/>
    <w:rsid w:val="00816816"/>
    <w:rsid w:val="008307AE"/>
    <w:rsid w:val="008F2E99"/>
    <w:rsid w:val="00971159"/>
    <w:rsid w:val="00AE72EF"/>
    <w:rsid w:val="00B922CD"/>
    <w:rsid w:val="00BE0650"/>
    <w:rsid w:val="00BE6E24"/>
    <w:rsid w:val="00C25DDA"/>
    <w:rsid w:val="00D64985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2016-07-08T09:34:00Z</dcterms:created>
  <dcterms:modified xsi:type="dcterms:W3CDTF">2016-07-08T09:34:00Z</dcterms:modified>
</cp:coreProperties>
</file>